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Letterhead"/>
        <w:tblW w:w="9480" w:type="dxa"/>
        <w:tblLook w:val="04A0" w:firstRow="1" w:lastRow="0" w:firstColumn="1" w:lastColumn="0" w:noHBand="0" w:noVBand="1"/>
        <w:tblDescription w:val="This table contains the European Commission's logo in the left column and information about the signer's or writer's organisational entity in the right column."/>
      </w:tblPr>
      <w:tblGrid>
        <w:gridCol w:w="2400"/>
        <w:gridCol w:w="7080"/>
      </w:tblGrid>
      <w:bookmarkStart w:id="0" w:name="LW_BM_COVERPAGE" w:displacedByCustomXml="next"/>
      <w:sdt>
        <w:sdtPr>
          <w:rPr>
            <w:rFonts w:ascii="Arial" w:hAnsi="Arial" w:cs="Arial"/>
            <w:sz w:val="16"/>
            <w:szCs w:val="16"/>
          </w:rPr>
          <w:alias w:val="EC Header - Standard"/>
          <w:tag w:val="A4pCgmOjXaoPaysOY21Ij7-5QkCVxYFQ4ANGFaoRKN4I2"/>
          <w:id w:val="2135134280"/>
        </w:sdtPr>
        <w:sdtEndPr/>
        <w:sdtContent>
          <w:tr w:rsidR="00812D6D" w14:paraId="19435135" w14:textId="77777777" w:rsidTr="009C605A">
            <w:tc>
              <w:tcPr>
                <w:tcW w:w="2400" w:type="dxa"/>
              </w:tcPr>
              <w:p w14:paraId="465F6460" w14:textId="77777777" w:rsidR="00812D6D" w:rsidRDefault="00812D6D" w:rsidP="009C605A">
                <w:pPr>
                  <w:pStyle w:val="ZFlag"/>
                </w:pPr>
                <w:r>
                  <w:rPr>
                    <w:noProof/>
                    <w:lang w:val="fr-BE" w:eastAsia="fr-BE"/>
                  </w:rPr>
                  <w:drawing>
                    <wp:inline distT="0" distB="0" distL="0" distR="0" wp14:anchorId="468F10D5" wp14:editId="79858627">
                      <wp:extent cx="1371600" cy="676800"/>
                      <wp:effectExtent l="0" t="0" r="0" b="0"/>
                      <wp:docPr id="1" name="Logo" descr="Logo of the European Commission, 12 yellow stars on a blue background arranged in a circle and framed by two light grey graphic elements representing the Berlaymont building, which is the headquarter of the European Commiss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" descr="Logo of the European Commission, 12 yellow stars on a blue background arranged in a circle and framed by two light grey graphic elements representing the Berlaymont building, which is the headquarter of the European Commission.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80" w:type="dxa"/>
              </w:tcPr>
              <w:p w14:paraId="549A8B6E" w14:textId="77777777" w:rsidR="00812D6D" w:rsidRDefault="00F246F8" w:rsidP="009C605A">
                <w:pPr>
                  <w:pStyle w:val="ZCom"/>
                </w:pPr>
                <w:sdt>
                  <w:sdtPr>
                    <w:id w:val="1281770306"/>
                    <w:dataBinding w:xpath="/Texts/OrgaRoot" w:storeItemID="{4EF90DE6-88B6-4264-9629-4D8DFDFE87D2}"/>
                    <w:text w:multiLine="1"/>
                  </w:sdtPr>
                  <w:sdtEndPr/>
                  <w:sdtContent>
                    <w:r w:rsidR="00812D6D">
                      <w:t>EUROPEAN COMMISSION</w:t>
                    </w:r>
                  </w:sdtContent>
                </w:sdt>
              </w:p>
              <w:p w14:paraId="47E3E74F" w14:textId="77777777" w:rsidR="00812D6D" w:rsidRDefault="00F246F8" w:rsidP="009C605A">
                <w:pPr>
                  <w:pStyle w:val="ZDGName"/>
                  <w:rPr>
                    <w:caps/>
                  </w:rPr>
                </w:pPr>
                <w:sdt>
                  <w:sdtPr>
                    <w:rPr>
                      <w:caps/>
                    </w:rPr>
                    <w:id w:val="-1728364660"/>
                    <w:dataBinding w:xpath="/Author/OrgaEntity1/HeadLine1" w:storeItemID="{1939AC2A-EA58-49FC-86D7-2893EE6F878A}"/>
                    <w:text w:multiLine="1"/>
                  </w:sdtPr>
                  <w:sdtEndPr/>
                  <w:sdtContent>
                    <w:r w:rsidR="00812D6D">
                      <w:rPr>
                        <w:caps/>
                      </w:rPr>
                      <w:t>DIRECTORATE-GENERAL</w:t>
                    </w:r>
                  </w:sdtContent>
                </w:sdt>
              </w:p>
              <w:p w14:paraId="0D2D8E34" w14:textId="77777777" w:rsidR="00812D6D" w:rsidRDefault="00F246F8" w:rsidP="009C605A">
                <w:pPr>
                  <w:pStyle w:val="ZDGName"/>
                  <w:rPr>
                    <w:caps/>
                  </w:rPr>
                </w:pPr>
                <w:sdt>
                  <w:sdtPr>
                    <w:rPr>
                      <w:caps/>
                    </w:rPr>
                    <w:id w:val="1031380599"/>
                    <w:dataBinding w:xpath="/Author/OrgaEntity1/HeadLine2" w:storeItemID="{1939AC2A-EA58-49FC-86D7-2893EE6F878A}"/>
                    <w:text w:multiLine="1"/>
                  </w:sdtPr>
                  <w:sdtEndPr/>
                  <w:sdtContent>
                    <w:r w:rsidR="00812D6D">
                      <w:rPr>
                        <w:caps/>
                      </w:rPr>
                      <w:t>ENVIRONMENT</w:t>
                    </w:r>
                  </w:sdtContent>
                </w:sdt>
              </w:p>
              <w:p w14:paraId="27B525D4" w14:textId="77777777" w:rsidR="00812D6D" w:rsidRDefault="00F246F8" w:rsidP="009C605A">
                <w:pPr>
                  <w:pStyle w:val="ZDGName"/>
                </w:pPr>
                <w:sdt>
                  <w:sdtPr>
                    <w:id w:val="-1428026945"/>
                    <w:dataBinding w:xpath="/Author/OrgaEntity2/HeadLine1" w:storeItemID="{1939AC2A-EA58-49FC-86D7-2893EE6F878A}"/>
                    <w:text w:multiLine="1"/>
                  </w:sdtPr>
                  <w:sdtEndPr/>
                  <w:sdtContent>
                    <w:r w:rsidR="00812D6D">
                      <w:t>Zero Pollution</w:t>
                    </w:r>
                  </w:sdtContent>
                </w:sdt>
              </w:p>
              <w:p w14:paraId="6B78EDAF" w14:textId="77777777" w:rsidR="00812D6D" w:rsidRDefault="00F246F8" w:rsidP="009C605A">
                <w:pPr>
                  <w:pStyle w:val="ZDGName"/>
                  <w:rPr>
                    <w:b/>
                  </w:rPr>
                </w:pPr>
                <w:sdt>
                  <w:sdtPr>
                    <w:rPr>
                      <w:b/>
                    </w:rPr>
                    <w:id w:val="487994704"/>
                    <w:dataBinding w:xpath="/Author/OrgaEntity3/HeadLine1" w:storeItemID="{1939AC2A-EA58-49FC-86D7-2893EE6F878A}"/>
                    <w:text w:multiLine="1"/>
                  </w:sdtPr>
                  <w:sdtEndPr/>
                  <w:sdtContent>
                    <w:r w:rsidR="00812D6D">
                      <w:rPr>
                        <w:b/>
                      </w:rPr>
                      <w:t>Marine Environment &amp; Clean Water Services</w:t>
                    </w:r>
                  </w:sdtContent>
                </w:sdt>
              </w:p>
            </w:tc>
          </w:tr>
        </w:sdtContent>
      </w:sdt>
      <w:bookmarkEnd w:id="0"/>
    </w:tbl>
    <w:p w14:paraId="10C69C01" w14:textId="77777777" w:rsidR="00C1011A" w:rsidRPr="001454A7" w:rsidRDefault="00C1011A" w:rsidP="002B5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noProof/>
        </w:rPr>
      </w:pPr>
    </w:p>
    <w:p w14:paraId="2E5B8444" w14:textId="23ED3573" w:rsidR="00CE039D" w:rsidRPr="001454A7" w:rsidRDefault="00C1011A" w:rsidP="002B5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mallCaps/>
          <w:noProof/>
        </w:rPr>
      </w:pPr>
      <w:r w:rsidRPr="001454A7">
        <w:rPr>
          <w:b/>
          <w:i/>
          <w:smallCaps/>
          <w:noProof/>
        </w:rPr>
        <w:t>In</w:t>
      </w:r>
      <w:r w:rsidR="00FF6126" w:rsidRPr="001454A7">
        <w:rPr>
          <w:b/>
          <w:i/>
          <w:smallCaps/>
          <w:noProof/>
        </w:rPr>
        <w:t>formal Commission Expert</w:t>
      </w:r>
      <w:r w:rsidR="00812D6D">
        <w:rPr>
          <w:b/>
          <w:i/>
          <w:smallCaps/>
          <w:noProof/>
        </w:rPr>
        <w:t xml:space="preserve"> Subg</w:t>
      </w:r>
      <w:r w:rsidR="00FF6126" w:rsidRPr="001454A7">
        <w:rPr>
          <w:b/>
          <w:i/>
          <w:smallCaps/>
          <w:noProof/>
        </w:rPr>
        <w:t xml:space="preserve">roup </w:t>
      </w:r>
      <w:r w:rsidR="00812D6D">
        <w:rPr>
          <w:b/>
          <w:i/>
          <w:smallCaps/>
          <w:noProof/>
        </w:rPr>
        <w:t xml:space="preserve">on </w:t>
      </w:r>
      <w:r w:rsidR="00EF5081">
        <w:rPr>
          <w:b/>
          <w:i/>
          <w:smallCaps/>
          <w:noProof/>
        </w:rPr>
        <w:t xml:space="preserve">Water </w:t>
      </w:r>
      <w:r w:rsidR="00812D6D">
        <w:rPr>
          <w:b/>
          <w:i/>
          <w:smallCaps/>
          <w:noProof/>
        </w:rPr>
        <w:t>Leakage</w:t>
      </w:r>
      <w:r w:rsidR="002E05DF">
        <w:rPr>
          <w:b/>
          <w:i/>
          <w:smallCaps/>
          <w:noProof/>
        </w:rPr>
        <w:t xml:space="preserve"> Levels</w:t>
      </w:r>
    </w:p>
    <w:p w14:paraId="07EDFD7F" w14:textId="77777777" w:rsidR="008A1EF2" w:rsidRPr="001454A7" w:rsidRDefault="00FF6126" w:rsidP="002B5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noProof/>
        </w:rPr>
      </w:pPr>
      <w:r w:rsidRPr="001454A7">
        <w:rPr>
          <w:b/>
          <w:smallCaps/>
          <w:noProof/>
        </w:rPr>
        <w:t xml:space="preserve"> </w:t>
      </w:r>
      <w:r w:rsidRPr="001454A7">
        <w:rPr>
          <w:smallCaps/>
          <w:noProof/>
          <w:u w:val="single"/>
        </w:rPr>
        <w:t>Terms of reference</w:t>
      </w:r>
    </w:p>
    <w:p w14:paraId="5022ADFA" w14:textId="77777777" w:rsidR="00CE039D" w:rsidRPr="001454A7" w:rsidRDefault="00CE039D" w:rsidP="002B5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454A7">
        <w:rPr>
          <w:noProof/>
        </w:rPr>
        <w:t xml:space="preserve"> </w:t>
      </w:r>
    </w:p>
    <w:p w14:paraId="5D793C8A" w14:textId="77777777" w:rsidR="008A1EF2" w:rsidRPr="001454A7" w:rsidRDefault="008A1EF2" w:rsidP="00D41E9D">
      <w:pPr>
        <w:pStyle w:val="Heading1"/>
        <w:tabs>
          <w:tab w:val="num" w:pos="284"/>
        </w:tabs>
        <w:ind w:hanging="1418"/>
        <w:rPr>
          <w:noProof/>
        </w:rPr>
      </w:pPr>
      <w:r w:rsidRPr="001454A7">
        <w:rPr>
          <w:noProof/>
        </w:rPr>
        <w:t>Background</w:t>
      </w:r>
    </w:p>
    <w:p w14:paraId="3B610577" w14:textId="51D12A8B" w:rsidR="003A1B98" w:rsidRDefault="003A1B98" w:rsidP="003A1B98">
      <w:pPr>
        <w:pStyle w:val="NormalWeb"/>
        <w:spacing w:after="120" w:afterAutospacing="0"/>
        <w:jc w:val="both"/>
      </w:pPr>
      <w:r>
        <w:t>The Recast Drinking Water Directive</w:t>
      </w:r>
      <w:r w:rsidRPr="00DC2D36">
        <w:rPr>
          <w:vertAlign w:val="superscript"/>
          <w:lang w:val="en-IE" w:eastAsia="zh-CN"/>
        </w:rPr>
        <w:footnoteReference w:id="1"/>
      </w:r>
      <w:r>
        <w:t xml:space="preserve"> (DWD) emphasizes the importance of reducing water leakage as a key measure to ensure sustainability and water security. Article 4</w:t>
      </w:r>
      <w:r w:rsidRPr="000D41BE">
        <w:t>§</w:t>
      </w:r>
      <w:r>
        <w:t>3 specifically calls for Member States to take measures that encourage the efficient use of water resources through leakage reduction.</w:t>
      </w:r>
    </w:p>
    <w:p w14:paraId="323162BC" w14:textId="1E39DA1D" w:rsidR="002B5BD9" w:rsidRDefault="00142839" w:rsidP="000D41BE">
      <w:pPr>
        <w:pStyle w:val="NormalWeb"/>
        <w:spacing w:before="0" w:beforeAutospacing="0" w:after="120" w:afterAutospacing="0"/>
        <w:jc w:val="both"/>
      </w:pPr>
      <w:r>
        <w:t xml:space="preserve">The Subgroup on </w:t>
      </w:r>
      <w:r w:rsidR="002E05DF">
        <w:t xml:space="preserve">Water </w:t>
      </w:r>
      <w:r>
        <w:t>Leakage</w:t>
      </w:r>
      <w:r w:rsidR="002E05DF">
        <w:t xml:space="preserve"> Levels (</w:t>
      </w:r>
      <w:r w:rsidR="00FB1657">
        <w:t>SG-</w:t>
      </w:r>
      <w:r w:rsidR="002E05DF">
        <w:t>WLL)</w:t>
      </w:r>
      <w:r>
        <w:t xml:space="preserve"> is established under the </w:t>
      </w:r>
      <w:r w:rsidR="000D41BE">
        <w:t xml:space="preserve">Commission </w:t>
      </w:r>
      <w:r>
        <w:t>Expert Group on the Implementation of the Drinking Water Directive</w:t>
      </w:r>
      <w:r w:rsidR="000D41BE">
        <w:t xml:space="preserve"> (EU) 2020/2184</w:t>
      </w:r>
      <w:r w:rsidR="000D41BE">
        <w:rPr>
          <w:rStyle w:val="FootnoteReference"/>
        </w:rPr>
        <w:footnoteReference w:id="2"/>
      </w:r>
      <w:r>
        <w:t xml:space="preserve"> </w:t>
      </w:r>
      <w:r w:rsidR="00FB1657">
        <w:t xml:space="preserve">(DWEG) </w:t>
      </w:r>
      <w:r>
        <w:t xml:space="preserve">to assist Member States and the Commission in meeting the requirements set out in </w:t>
      </w:r>
      <w:r w:rsidR="00FB1657">
        <w:t xml:space="preserve">paragraph 3 of </w:t>
      </w:r>
      <w:r>
        <w:t xml:space="preserve">Article </w:t>
      </w:r>
      <w:proofErr w:type="gramStart"/>
      <w:r>
        <w:t>4</w:t>
      </w:r>
      <w:r w:rsidR="00FB1657">
        <w:t xml:space="preserve"> </w:t>
      </w:r>
      <w:r>
        <w:t>,by</w:t>
      </w:r>
      <w:proofErr w:type="gramEnd"/>
      <w:r>
        <w:t xml:space="preserve"> facilitating the exchange of knowledge, best practices, and technical solutions aimed at</w:t>
      </w:r>
      <w:r w:rsidR="00FB1657">
        <w:t xml:space="preserve"> assessing and improving</w:t>
      </w:r>
      <w:r>
        <w:t xml:space="preserve"> </w:t>
      </w:r>
      <w:r w:rsidR="00FB1657">
        <w:t xml:space="preserve">water leakage levels. </w:t>
      </w:r>
    </w:p>
    <w:p w14:paraId="704D8FDC" w14:textId="079F7FF7" w:rsidR="005C40B5" w:rsidRPr="004D4B69" w:rsidRDefault="005C40B5" w:rsidP="004E1475">
      <w:pPr>
        <w:pStyle w:val="Default"/>
        <w:rPr>
          <w:noProof/>
        </w:rPr>
      </w:pPr>
      <w:r>
        <w:rPr>
          <w:noProof/>
        </w:rPr>
        <w:t xml:space="preserve">The </w:t>
      </w:r>
      <w:r>
        <w:t>s</w:t>
      </w:r>
      <w:r w:rsidRPr="004D4B69">
        <w:t>ubgroup</w:t>
      </w:r>
      <w:r w:rsidRPr="004D4B69">
        <w:rPr>
          <w:noProof/>
        </w:rPr>
        <w:t xml:space="preserve"> shall operate in compliance with the </w:t>
      </w:r>
      <w:r w:rsidR="00FB1657">
        <w:rPr>
          <w:noProof/>
        </w:rPr>
        <w:t xml:space="preserve">Commission’s </w:t>
      </w:r>
      <w:r w:rsidRPr="004D4B69">
        <w:rPr>
          <w:noProof/>
        </w:rPr>
        <w:t>horizontal rules</w:t>
      </w:r>
      <w:r w:rsidR="00FB1657">
        <w:rPr>
          <w:noProof/>
        </w:rPr>
        <w:t xml:space="preserve"> on expert groups</w:t>
      </w:r>
      <w:r w:rsidRPr="004D4B69">
        <w:rPr>
          <w:noProof/>
        </w:rPr>
        <w:t xml:space="preserve"> and shall report to the </w:t>
      </w:r>
      <w:r w:rsidR="00FB1657">
        <w:rPr>
          <w:noProof/>
        </w:rPr>
        <w:t>DWEG</w:t>
      </w:r>
      <w:r w:rsidRPr="004D4B69">
        <w:rPr>
          <w:noProof/>
        </w:rPr>
        <w:t xml:space="preserve">. </w:t>
      </w:r>
      <w:r>
        <w:rPr>
          <w:noProof/>
        </w:rPr>
        <w:t xml:space="preserve">It </w:t>
      </w:r>
      <w:r w:rsidRPr="004D4B69">
        <w:rPr>
          <w:noProof/>
        </w:rPr>
        <w:t xml:space="preserve">shall be dissolved as soon as </w:t>
      </w:r>
      <w:r>
        <w:rPr>
          <w:noProof/>
        </w:rPr>
        <w:t>its</w:t>
      </w:r>
      <w:r w:rsidRPr="004D4B69">
        <w:rPr>
          <w:noProof/>
        </w:rPr>
        <w:t xml:space="preserve"> mandate is fulfilled. </w:t>
      </w:r>
    </w:p>
    <w:p w14:paraId="1D1F4404" w14:textId="77777777" w:rsidR="00CE039D" w:rsidRPr="001454A7" w:rsidRDefault="00CE039D" w:rsidP="000D41BE">
      <w:pPr>
        <w:pStyle w:val="Heading1"/>
        <w:tabs>
          <w:tab w:val="num" w:pos="284"/>
        </w:tabs>
        <w:spacing w:after="240"/>
        <w:ind w:hanging="1418"/>
        <w:rPr>
          <w:noProof/>
        </w:rPr>
      </w:pPr>
      <w:r w:rsidRPr="001454A7">
        <w:rPr>
          <w:noProof/>
        </w:rPr>
        <w:t>Subject matter</w:t>
      </w:r>
    </w:p>
    <w:p w14:paraId="538106FF" w14:textId="4B9C517F" w:rsidR="00CE039D" w:rsidRPr="001454A7" w:rsidRDefault="00CE039D" w:rsidP="002B5753">
      <w:pPr>
        <w:rPr>
          <w:noProof/>
        </w:rPr>
      </w:pPr>
      <w:r w:rsidRPr="001454A7">
        <w:rPr>
          <w:noProof/>
        </w:rPr>
        <w:t xml:space="preserve">The </w:t>
      </w:r>
      <w:r w:rsidR="00812D6D">
        <w:rPr>
          <w:noProof/>
        </w:rPr>
        <w:t>Sub</w:t>
      </w:r>
      <w:r w:rsidRPr="001454A7">
        <w:rPr>
          <w:noProof/>
        </w:rPr>
        <w:t xml:space="preserve">group of </w:t>
      </w:r>
      <w:r w:rsidR="000D41BE">
        <w:rPr>
          <w:noProof/>
        </w:rPr>
        <w:t>E</w:t>
      </w:r>
      <w:r w:rsidRPr="001454A7">
        <w:rPr>
          <w:noProof/>
        </w:rPr>
        <w:t xml:space="preserve">xperts </w:t>
      </w:r>
      <w:r w:rsidR="00812D6D">
        <w:rPr>
          <w:noProof/>
        </w:rPr>
        <w:t xml:space="preserve">on </w:t>
      </w:r>
      <w:r w:rsidR="000D41BE">
        <w:rPr>
          <w:noProof/>
        </w:rPr>
        <w:t xml:space="preserve">Water </w:t>
      </w:r>
      <w:r w:rsidR="00812D6D">
        <w:rPr>
          <w:noProof/>
        </w:rPr>
        <w:t>Leakage</w:t>
      </w:r>
      <w:r w:rsidR="008B213B">
        <w:rPr>
          <w:noProof/>
        </w:rPr>
        <w:t xml:space="preserve"> Levels</w:t>
      </w:r>
      <w:r w:rsidRPr="001454A7">
        <w:rPr>
          <w:noProof/>
        </w:rPr>
        <w:t xml:space="preserve"> is set up.</w:t>
      </w:r>
    </w:p>
    <w:p w14:paraId="17F651A9" w14:textId="77777777" w:rsidR="00CE039D" w:rsidRPr="001454A7" w:rsidRDefault="00CE039D" w:rsidP="000D41BE">
      <w:pPr>
        <w:pStyle w:val="Heading1"/>
        <w:tabs>
          <w:tab w:val="num" w:pos="284"/>
        </w:tabs>
        <w:spacing w:after="240"/>
        <w:ind w:hanging="1418"/>
        <w:rPr>
          <w:noProof/>
        </w:rPr>
      </w:pPr>
      <w:r w:rsidRPr="001454A7">
        <w:rPr>
          <w:noProof/>
        </w:rPr>
        <w:t>Tasks</w:t>
      </w:r>
    </w:p>
    <w:p w14:paraId="5FA77EE2" w14:textId="5936B11E" w:rsidR="005323DB" w:rsidRPr="000941A7" w:rsidRDefault="005323DB" w:rsidP="000D41BE">
      <w:pPr>
        <w:spacing w:before="0"/>
        <w:rPr>
          <w:noProof/>
        </w:rPr>
      </w:pPr>
      <w:r w:rsidRPr="000941A7">
        <w:rPr>
          <w:noProof/>
        </w:rPr>
        <w:t xml:space="preserve">The </w:t>
      </w:r>
      <w:r w:rsidR="000D41BE">
        <w:rPr>
          <w:noProof/>
        </w:rPr>
        <w:t>sub</w:t>
      </w:r>
      <w:r w:rsidRPr="000941A7">
        <w:rPr>
          <w:noProof/>
        </w:rPr>
        <w:t>group’s tasks shall be:</w:t>
      </w:r>
    </w:p>
    <w:p w14:paraId="6097C4C3" w14:textId="779F93AF" w:rsidR="005323DB" w:rsidRPr="000941A7" w:rsidRDefault="000D41BE" w:rsidP="000D41BE">
      <w:pPr>
        <w:pStyle w:val="Point0letter"/>
        <w:numPr>
          <w:ilvl w:val="1"/>
          <w:numId w:val="30"/>
        </w:numPr>
        <w:ind w:left="567" w:hanging="567"/>
        <w:rPr>
          <w:noProof/>
        </w:rPr>
      </w:pPr>
      <w:r>
        <w:rPr>
          <w:noProof/>
        </w:rPr>
        <w:t>T</w:t>
      </w:r>
      <w:r w:rsidR="005323DB" w:rsidRPr="000941A7">
        <w:rPr>
          <w:noProof/>
        </w:rPr>
        <w:t xml:space="preserve">o establish cooperation/coordination </w:t>
      </w:r>
      <w:r w:rsidR="00BA3D47">
        <w:rPr>
          <w:noProof/>
        </w:rPr>
        <w:t>with</w:t>
      </w:r>
      <w:r w:rsidR="005323DB" w:rsidRPr="000941A7">
        <w:rPr>
          <w:noProof/>
        </w:rPr>
        <w:t xml:space="preserve"> Member States  </w:t>
      </w:r>
      <w:r w:rsidR="00BA3D47">
        <w:rPr>
          <w:noProof/>
        </w:rPr>
        <w:t>and</w:t>
      </w:r>
      <w:r w:rsidR="00BA3D47" w:rsidRPr="000941A7">
        <w:rPr>
          <w:noProof/>
        </w:rPr>
        <w:t xml:space="preserve"> </w:t>
      </w:r>
      <w:r w:rsidR="005323DB" w:rsidRPr="000941A7">
        <w:rPr>
          <w:noProof/>
        </w:rPr>
        <w:t xml:space="preserve">stakeholders on questions relating to the implementation of </w:t>
      </w:r>
      <w:r w:rsidR="00C70265">
        <w:rPr>
          <w:noProof/>
        </w:rPr>
        <w:t>the</w:t>
      </w:r>
      <w:r w:rsidR="003A1B98">
        <w:rPr>
          <w:noProof/>
        </w:rPr>
        <w:t xml:space="preserve"> provisions related to water leakage of the </w:t>
      </w:r>
      <w:r w:rsidR="008B213B">
        <w:rPr>
          <w:noProof/>
        </w:rPr>
        <w:t>DWD</w:t>
      </w:r>
      <w:r w:rsidR="003A1B98">
        <w:rPr>
          <w:noProof/>
        </w:rPr>
        <w:t>.</w:t>
      </w:r>
      <w:r w:rsidR="00511D81">
        <w:rPr>
          <w:noProof/>
        </w:rPr>
        <w:t xml:space="preserve"> </w:t>
      </w:r>
    </w:p>
    <w:p w14:paraId="784287CD" w14:textId="4B1DF941" w:rsidR="00286A1A" w:rsidRDefault="007C615E" w:rsidP="000D41BE">
      <w:pPr>
        <w:pStyle w:val="Point0letter"/>
        <w:numPr>
          <w:ilvl w:val="1"/>
          <w:numId w:val="30"/>
        </w:numPr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T</w:t>
      </w:r>
      <w:r w:rsidR="005323DB" w:rsidRPr="000941A7">
        <w:rPr>
          <w:noProof/>
        </w:rPr>
        <w:t xml:space="preserve">o bring about an exchange of experience and good practice </w:t>
      </w:r>
      <w:r w:rsidR="002B5BD9">
        <w:rPr>
          <w:noProof/>
        </w:rPr>
        <w:t>on the ass</w:t>
      </w:r>
      <w:r w:rsidR="00161ADC">
        <w:rPr>
          <w:noProof/>
        </w:rPr>
        <w:t>e</w:t>
      </w:r>
      <w:r w:rsidR="002B5BD9">
        <w:rPr>
          <w:noProof/>
        </w:rPr>
        <w:t xml:space="preserve">ssment of water leakage levels </w:t>
      </w:r>
      <w:r w:rsidR="008B213B">
        <w:rPr>
          <w:noProof/>
        </w:rPr>
        <w:t xml:space="preserve">and potential for improvements to reduce water leakage levels </w:t>
      </w:r>
      <w:r w:rsidR="002B5BD9">
        <w:rPr>
          <w:noProof/>
        </w:rPr>
        <w:t>among Member States</w:t>
      </w:r>
      <w:r w:rsidR="00BA3D47">
        <w:rPr>
          <w:noProof/>
        </w:rPr>
        <w:t>,</w:t>
      </w:r>
      <w:r w:rsidR="008B213B">
        <w:rPr>
          <w:noProof/>
        </w:rPr>
        <w:t xml:space="preserve"> </w:t>
      </w:r>
    </w:p>
    <w:p w14:paraId="57C469B3" w14:textId="111CB88D" w:rsidR="005323DB" w:rsidRDefault="00286A1A" w:rsidP="000D41BE">
      <w:pPr>
        <w:pStyle w:val="Point0letter"/>
        <w:numPr>
          <w:ilvl w:val="1"/>
          <w:numId w:val="30"/>
        </w:numPr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T</w:t>
      </w:r>
      <w:r w:rsidR="00C70265">
        <w:rPr>
          <w:noProof/>
        </w:rPr>
        <w:t xml:space="preserve">o </w:t>
      </w:r>
      <w:r>
        <w:rPr>
          <w:noProof/>
        </w:rPr>
        <w:t>determine</w:t>
      </w:r>
      <w:r w:rsidR="00C70265">
        <w:rPr>
          <w:noProof/>
        </w:rPr>
        <w:t xml:space="preserve"> comparab</w:t>
      </w:r>
      <w:r w:rsidR="008B213B">
        <w:rPr>
          <w:noProof/>
        </w:rPr>
        <w:t>le</w:t>
      </w:r>
      <w:r w:rsidR="00C70265">
        <w:rPr>
          <w:noProof/>
        </w:rPr>
        <w:t xml:space="preserve"> </w:t>
      </w:r>
      <w:r w:rsidR="00A27DE9">
        <w:rPr>
          <w:noProof/>
        </w:rPr>
        <w:t xml:space="preserve">drinking </w:t>
      </w:r>
      <w:r w:rsidR="00C70265">
        <w:rPr>
          <w:noProof/>
        </w:rPr>
        <w:t xml:space="preserve">water leakage </w:t>
      </w:r>
      <w:r w:rsidR="008B213B">
        <w:rPr>
          <w:noProof/>
        </w:rPr>
        <w:t xml:space="preserve">level </w:t>
      </w:r>
      <w:r w:rsidR="00C70265">
        <w:rPr>
          <w:noProof/>
        </w:rPr>
        <w:t>assessment methods</w:t>
      </w:r>
      <w:r w:rsidR="00455846" w:rsidRPr="00455846">
        <w:t xml:space="preserve"> </w:t>
      </w:r>
      <w:r w:rsidR="00A27DE9">
        <w:rPr>
          <w:noProof/>
        </w:rPr>
        <w:t>before</w:t>
      </w:r>
      <w:r>
        <w:rPr>
          <w:noProof/>
        </w:rPr>
        <w:t xml:space="preserve"> the date of 30 June 2025</w:t>
      </w:r>
      <w:r w:rsidR="00455846" w:rsidRPr="00455846">
        <w:rPr>
          <w:noProof/>
        </w:rPr>
        <w:t xml:space="preserve"> which should, </w:t>
      </w:r>
      <w:r w:rsidR="00455846">
        <w:rPr>
          <w:noProof/>
        </w:rPr>
        <w:t>to the extent</w:t>
      </w:r>
      <w:r w:rsidR="00455846" w:rsidRPr="00455846">
        <w:rPr>
          <w:noProof/>
        </w:rPr>
        <w:t xml:space="preserve"> possible, allow </w:t>
      </w:r>
      <w:r w:rsidR="00455846">
        <w:rPr>
          <w:noProof/>
        </w:rPr>
        <w:t xml:space="preserve">a </w:t>
      </w:r>
      <w:r w:rsidR="00455846" w:rsidRPr="00455846">
        <w:rPr>
          <w:noProof/>
        </w:rPr>
        <w:t xml:space="preserve">harmonised </w:t>
      </w:r>
      <w:r w:rsidR="00A27DE9">
        <w:rPr>
          <w:noProof/>
        </w:rPr>
        <w:t xml:space="preserve">and consistent </w:t>
      </w:r>
      <w:r w:rsidR="00BA3D47">
        <w:rPr>
          <w:noProof/>
        </w:rPr>
        <w:t xml:space="preserve">communication </w:t>
      </w:r>
      <w:r w:rsidR="00A27DE9" w:rsidRPr="00455846">
        <w:rPr>
          <w:noProof/>
        </w:rPr>
        <w:t>to the Commission</w:t>
      </w:r>
      <w:r w:rsidR="00A27DE9">
        <w:rPr>
          <w:noProof/>
        </w:rPr>
        <w:t xml:space="preserve"> </w:t>
      </w:r>
      <w:r w:rsidR="00BA3D47">
        <w:rPr>
          <w:noProof/>
        </w:rPr>
        <w:t xml:space="preserve">of the results of the assessment of drinking water leakage levels </w:t>
      </w:r>
      <w:r w:rsidR="00A27DE9">
        <w:rPr>
          <w:noProof/>
        </w:rPr>
        <w:t xml:space="preserve">within Member States’ </w:t>
      </w:r>
      <w:r w:rsidR="00BA3D47">
        <w:rPr>
          <w:noProof/>
        </w:rPr>
        <w:t>territory</w:t>
      </w:r>
      <w:r w:rsidR="00455846" w:rsidRPr="00455846">
        <w:rPr>
          <w:noProof/>
        </w:rPr>
        <w:t>.</w:t>
      </w:r>
    </w:p>
    <w:p w14:paraId="43B53AE2" w14:textId="2A9A9517" w:rsidR="000D41BE" w:rsidRDefault="000D41BE" w:rsidP="000D41BE">
      <w:pPr>
        <w:pStyle w:val="Point0letter"/>
        <w:numPr>
          <w:ilvl w:val="1"/>
          <w:numId w:val="30"/>
        </w:numPr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lastRenderedPageBreak/>
        <w:t xml:space="preserve">To </w:t>
      </w:r>
      <w:r w:rsidR="00455846">
        <w:rPr>
          <w:noProof/>
        </w:rPr>
        <w:t>support</w:t>
      </w:r>
      <w:r w:rsidRPr="000941A7">
        <w:rPr>
          <w:noProof/>
        </w:rPr>
        <w:t xml:space="preserve"> </w:t>
      </w:r>
      <w:r>
        <w:rPr>
          <w:noProof/>
        </w:rPr>
        <w:t>DG E</w:t>
      </w:r>
      <w:r w:rsidR="00C70265">
        <w:rPr>
          <w:noProof/>
        </w:rPr>
        <w:t>nvironment</w:t>
      </w:r>
      <w:r>
        <w:rPr>
          <w:noProof/>
        </w:rPr>
        <w:t xml:space="preserve"> </w:t>
      </w:r>
      <w:r w:rsidRPr="000941A7">
        <w:rPr>
          <w:noProof/>
        </w:rPr>
        <w:t xml:space="preserve">in the preparation of </w:t>
      </w:r>
      <w:r>
        <w:rPr>
          <w:noProof/>
        </w:rPr>
        <w:t xml:space="preserve">the delegated act that the Commission </w:t>
      </w:r>
      <w:r w:rsidR="00C70265">
        <w:rPr>
          <w:noProof/>
        </w:rPr>
        <w:t>shall</w:t>
      </w:r>
      <w:r>
        <w:rPr>
          <w:noProof/>
        </w:rPr>
        <w:t xml:space="preserve"> adopt by 12 January 2028 as </w:t>
      </w:r>
      <w:r w:rsidR="00C70265">
        <w:rPr>
          <w:noProof/>
        </w:rPr>
        <w:t xml:space="preserve">provided for </w:t>
      </w:r>
      <w:r>
        <w:rPr>
          <w:noProof/>
        </w:rPr>
        <w:t xml:space="preserve">in </w:t>
      </w:r>
      <w:r w:rsidR="00455846">
        <w:rPr>
          <w:noProof/>
        </w:rPr>
        <w:t>paragraph 3 of Article 4 of the recast DWD.</w:t>
      </w:r>
    </w:p>
    <w:p w14:paraId="43329A34" w14:textId="77777777" w:rsidR="00CE039D" w:rsidRPr="002B5753" w:rsidRDefault="00CE039D" w:rsidP="00C70265">
      <w:pPr>
        <w:pStyle w:val="Heading1"/>
        <w:tabs>
          <w:tab w:val="num" w:pos="284"/>
        </w:tabs>
        <w:spacing w:after="240"/>
        <w:ind w:hanging="1418"/>
        <w:rPr>
          <w:noProof/>
        </w:rPr>
      </w:pPr>
      <w:r w:rsidRPr="002B5753">
        <w:rPr>
          <w:noProof/>
        </w:rPr>
        <w:t>Membership</w:t>
      </w:r>
    </w:p>
    <w:p w14:paraId="0752A139" w14:textId="3BE3D387" w:rsidR="005323DB" w:rsidRPr="00F7052A" w:rsidRDefault="005323DB" w:rsidP="00333067">
      <w:pPr>
        <w:pStyle w:val="ListParagraph"/>
        <w:numPr>
          <w:ilvl w:val="6"/>
          <w:numId w:val="32"/>
        </w:numPr>
        <w:ind w:left="709" w:hanging="357"/>
        <w:contextualSpacing w:val="0"/>
      </w:pPr>
      <w:r w:rsidRPr="00F7052A">
        <w:t xml:space="preserve">The </w:t>
      </w:r>
      <w:r w:rsidR="00455846">
        <w:t>sub</w:t>
      </w:r>
      <w:r w:rsidRPr="00F7052A">
        <w:t xml:space="preserve">group shall be composed of </w:t>
      </w:r>
      <w:r w:rsidR="002D7137">
        <w:t>max</w:t>
      </w:r>
      <w:r w:rsidR="00455846">
        <w:t>imum</w:t>
      </w:r>
      <w:r w:rsidR="002D7137">
        <w:t xml:space="preserve"> 20</w:t>
      </w:r>
      <w:r w:rsidRPr="00F7052A">
        <w:t xml:space="preserve"> members</w:t>
      </w:r>
    </w:p>
    <w:p w14:paraId="07FFC381" w14:textId="2E36AE19" w:rsidR="005323DB" w:rsidRPr="00F7052A" w:rsidRDefault="005323DB" w:rsidP="00B17431">
      <w:pPr>
        <w:pStyle w:val="ListParagraph"/>
        <w:numPr>
          <w:ilvl w:val="6"/>
          <w:numId w:val="32"/>
        </w:numPr>
        <w:ind w:left="709"/>
        <w:contextualSpacing w:val="0"/>
      </w:pPr>
      <w:r w:rsidRPr="00F7052A">
        <w:t xml:space="preserve">Members shall be Member States' </w:t>
      </w:r>
      <w:proofErr w:type="gramStart"/>
      <w:r w:rsidRPr="00F7052A">
        <w:t>authorities</w:t>
      </w:r>
      <w:proofErr w:type="gramEnd"/>
      <w:r w:rsidR="002D7137">
        <w:t xml:space="preserve"> represent</w:t>
      </w:r>
      <w:r w:rsidR="00455846">
        <w:t>a</w:t>
      </w:r>
      <w:r w:rsidR="002D7137">
        <w:t>tive</w:t>
      </w:r>
      <w:r w:rsidR="005C40B5">
        <w:t>s.</w:t>
      </w:r>
    </w:p>
    <w:p w14:paraId="22A4CA31" w14:textId="3A40EB50" w:rsidR="00455846" w:rsidRPr="004E1475" w:rsidRDefault="005323DB" w:rsidP="00B17431">
      <w:pPr>
        <w:pStyle w:val="ListParagraph"/>
        <w:numPr>
          <w:ilvl w:val="6"/>
          <w:numId w:val="32"/>
        </w:numPr>
        <w:ind w:left="709"/>
        <w:contextualSpacing w:val="0"/>
        <w:rPr>
          <w:rFonts w:eastAsia="SimSun"/>
        </w:rPr>
      </w:pPr>
      <w:r w:rsidRPr="00F7052A">
        <w:t xml:space="preserve">Member States' authorities shall nominate </w:t>
      </w:r>
      <w:r w:rsidR="00121C0B">
        <w:t>a</w:t>
      </w:r>
      <w:r w:rsidRPr="00F7052A">
        <w:t xml:space="preserve"> representative and</w:t>
      </w:r>
      <w:r w:rsidR="005C0F1E">
        <w:t xml:space="preserve"> </w:t>
      </w:r>
      <w:r w:rsidRPr="00F7052A">
        <w:t>shall be responsible for ensuring that their representative provide a high level of expertise.</w:t>
      </w:r>
    </w:p>
    <w:p w14:paraId="323C6207" w14:textId="1CA27032" w:rsidR="005323DB" w:rsidRPr="0020016E" w:rsidRDefault="005323DB" w:rsidP="004E1475">
      <w:pPr>
        <w:ind w:left="349"/>
        <w:rPr>
          <w:rFonts w:eastAsia="SimSun"/>
        </w:rPr>
      </w:pPr>
    </w:p>
    <w:p w14:paraId="76EBE247" w14:textId="77777777" w:rsidR="00CE039D" w:rsidRPr="002B5753" w:rsidRDefault="00CE039D" w:rsidP="00C70265">
      <w:pPr>
        <w:pStyle w:val="Heading1"/>
        <w:tabs>
          <w:tab w:val="num" w:pos="284"/>
        </w:tabs>
        <w:spacing w:after="240"/>
        <w:ind w:hanging="1418"/>
        <w:rPr>
          <w:noProof/>
        </w:rPr>
      </w:pPr>
      <w:r w:rsidRPr="002B5753">
        <w:rPr>
          <w:noProof/>
        </w:rPr>
        <w:t>Chair</w:t>
      </w:r>
    </w:p>
    <w:p w14:paraId="5254C018" w14:textId="14007F50" w:rsidR="003B5BC0" w:rsidRDefault="003B5BC0" w:rsidP="003B5BC0">
      <w:pPr>
        <w:rPr>
          <w:noProof/>
        </w:rPr>
      </w:pPr>
      <w:r w:rsidRPr="004D4B69">
        <w:rPr>
          <w:noProof/>
        </w:rPr>
        <w:t xml:space="preserve">The group shall be chaired by a representative of </w:t>
      </w:r>
      <w:r w:rsidR="00F57C65" w:rsidRPr="008F1DD2">
        <w:rPr>
          <w:noProof/>
          <w:highlight w:val="yellow"/>
        </w:rPr>
        <w:t>…</w:t>
      </w:r>
    </w:p>
    <w:p w14:paraId="185A2DC4" w14:textId="77777777" w:rsidR="00CE039D" w:rsidRPr="002B5753" w:rsidRDefault="00CE039D" w:rsidP="00C70265">
      <w:pPr>
        <w:pStyle w:val="Heading1"/>
        <w:tabs>
          <w:tab w:val="num" w:pos="284"/>
        </w:tabs>
        <w:spacing w:after="240"/>
        <w:ind w:hanging="1418"/>
        <w:rPr>
          <w:noProof/>
        </w:rPr>
      </w:pPr>
      <w:r w:rsidRPr="002B5753">
        <w:rPr>
          <w:noProof/>
        </w:rPr>
        <w:t>Operation</w:t>
      </w:r>
    </w:p>
    <w:p w14:paraId="569A71E6" w14:textId="24F9305D" w:rsidR="003B5BC0" w:rsidRPr="004D4B69" w:rsidRDefault="003B5BC0" w:rsidP="00B17431">
      <w:pPr>
        <w:pStyle w:val="ManualNumPar1"/>
        <w:numPr>
          <w:ilvl w:val="6"/>
          <w:numId w:val="34"/>
        </w:numPr>
        <w:ind w:left="709"/>
        <w:rPr>
          <w:noProof/>
        </w:rPr>
      </w:pPr>
      <w:r w:rsidRPr="004D4B69">
        <w:rPr>
          <w:noProof/>
        </w:rPr>
        <w:t xml:space="preserve">The group shall act at the request of its </w:t>
      </w:r>
      <w:r w:rsidR="009C773E">
        <w:rPr>
          <w:noProof/>
        </w:rPr>
        <w:t>C</w:t>
      </w:r>
      <w:r w:rsidRPr="004D4B69">
        <w:rPr>
          <w:noProof/>
        </w:rPr>
        <w:t xml:space="preserve">hair with the agreement of DG </w:t>
      </w:r>
      <w:r w:rsidR="00F57C65">
        <w:rPr>
          <w:noProof/>
        </w:rPr>
        <w:t>ENV</w:t>
      </w:r>
      <w:r w:rsidRPr="004D4B69">
        <w:rPr>
          <w:noProof/>
        </w:rPr>
        <w:t xml:space="preserve">, in compliance with the </w:t>
      </w:r>
      <w:r w:rsidR="0020016E">
        <w:rPr>
          <w:noProof/>
        </w:rPr>
        <w:t xml:space="preserve">Commission’s </w:t>
      </w:r>
      <w:r w:rsidRPr="004D4B69">
        <w:rPr>
          <w:noProof/>
        </w:rPr>
        <w:t>horizontal rules</w:t>
      </w:r>
      <w:r w:rsidR="0020016E">
        <w:rPr>
          <w:noProof/>
        </w:rPr>
        <w:t xml:space="preserve"> on expert groups</w:t>
      </w:r>
      <w:r w:rsidRPr="006010E7">
        <w:rPr>
          <w:rStyle w:val="FootnoteReference"/>
        </w:rPr>
        <w:footnoteReference w:id="3"/>
      </w:r>
      <w:r w:rsidRPr="004D4B69">
        <w:rPr>
          <w:noProof/>
        </w:rPr>
        <w:t>.</w:t>
      </w:r>
    </w:p>
    <w:p w14:paraId="7E105925" w14:textId="77777777" w:rsidR="003B5BC0" w:rsidRPr="004D4B69" w:rsidRDefault="003B5BC0" w:rsidP="00B17431">
      <w:pPr>
        <w:pStyle w:val="ManualNumPar1"/>
        <w:numPr>
          <w:ilvl w:val="6"/>
          <w:numId w:val="34"/>
        </w:numPr>
        <w:ind w:left="709"/>
        <w:rPr>
          <w:noProof/>
          <w:color w:val="000000"/>
        </w:rPr>
      </w:pPr>
      <w:r w:rsidRPr="004D4B69">
        <w:rPr>
          <w:noProof/>
        </w:rPr>
        <w:t xml:space="preserve">Meetings of the group shall, in principle, be held </w:t>
      </w:r>
      <w:r w:rsidRPr="004D4B69">
        <w:rPr>
          <w:noProof/>
          <w:color w:val="000000"/>
        </w:rPr>
        <w:t>on Commission premises</w:t>
      </w:r>
      <w:r w:rsidR="00CD02B9">
        <w:rPr>
          <w:noProof/>
          <w:color w:val="000000"/>
        </w:rPr>
        <w:t xml:space="preserve"> or virtually, depending on the circumstances</w:t>
      </w:r>
      <w:r w:rsidRPr="004D4B69">
        <w:rPr>
          <w:noProof/>
          <w:color w:val="000000"/>
        </w:rPr>
        <w:t>.</w:t>
      </w:r>
    </w:p>
    <w:p w14:paraId="5438E36A" w14:textId="10E3AD91" w:rsidR="003B5BC0" w:rsidRPr="004D4B69" w:rsidRDefault="003B5BC0" w:rsidP="00B17431">
      <w:pPr>
        <w:pStyle w:val="ManualNumPar1"/>
        <w:numPr>
          <w:ilvl w:val="6"/>
          <w:numId w:val="34"/>
        </w:numPr>
        <w:ind w:left="709"/>
        <w:rPr>
          <w:noProof/>
        </w:rPr>
      </w:pPr>
      <w:r w:rsidRPr="004D4B69">
        <w:rPr>
          <w:noProof/>
        </w:rPr>
        <w:t xml:space="preserve">DG </w:t>
      </w:r>
      <w:r w:rsidR="00F57C65">
        <w:rPr>
          <w:noProof/>
        </w:rPr>
        <w:t>ENV</w:t>
      </w:r>
      <w:r w:rsidRPr="004D4B69">
        <w:rPr>
          <w:noProof/>
        </w:rPr>
        <w:t xml:space="preserve"> shall provide secretarial services. Commission officials from other departments with an interest in the proceedings may attend meetings of the </w:t>
      </w:r>
      <w:r w:rsidR="00F57C65">
        <w:rPr>
          <w:noProof/>
        </w:rPr>
        <w:t>sub</w:t>
      </w:r>
      <w:r w:rsidRPr="004D4B69">
        <w:rPr>
          <w:noProof/>
        </w:rPr>
        <w:t>group.</w:t>
      </w:r>
    </w:p>
    <w:p w14:paraId="257946D5" w14:textId="10C7F22B" w:rsidR="003B5BC0" w:rsidRPr="004D4B69" w:rsidRDefault="003B5BC0" w:rsidP="00B17431">
      <w:pPr>
        <w:pStyle w:val="ManualNumPar1"/>
        <w:numPr>
          <w:ilvl w:val="6"/>
          <w:numId w:val="34"/>
        </w:numPr>
        <w:ind w:left="709"/>
        <w:rPr>
          <w:noProof/>
        </w:rPr>
      </w:pPr>
      <w:r w:rsidRPr="004D4B69">
        <w:rPr>
          <w:noProof/>
        </w:rPr>
        <w:t xml:space="preserve">In agreement with DG </w:t>
      </w:r>
      <w:r w:rsidR="00F57C65">
        <w:rPr>
          <w:noProof/>
        </w:rPr>
        <w:t>ENV</w:t>
      </w:r>
      <w:r w:rsidRPr="004D4B69">
        <w:rPr>
          <w:noProof/>
        </w:rPr>
        <w:t>, the group may, by simple majority of its members, decide that deliberations shall be public.</w:t>
      </w:r>
    </w:p>
    <w:p w14:paraId="389F0D61" w14:textId="312B8ADD" w:rsidR="003B5BC0" w:rsidRPr="004D4B69" w:rsidRDefault="003B5BC0" w:rsidP="00B17431">
      <w:pPr>
        <w:pStyle w:val="ManualNumPar1"/>
        <w:numPr>
          <w:ilvl w:val="6"/>
          <w:numId w:val="34"/>
        </w:numPr>
        <w:ind w:left="709"/>
        <w:rPr>
          <w:noProof/>
        </w:rPr>
      </w:pPr>
      <w:r w:rsidRPr="004D4B69">
        <w:rPr>
          <w:noProof/>
        </w:rPr>
        <w:t xml:space="preserve">Minutes on the discussion on each point on the </w:t>
      </w:r>
      <w:r w:rsidR="0020016E">
        <w:rPr>
          <w:noProof/>
        </w:rPr>
        <w:t xml:space="preserve">meetings’ </w:t>
      </w:r>
      <w:r w:rsidRPr="004D4B69">
        <w:rPr>
          <w:noProof/>
        </w:rPr>
        <w:t>agenda and on the opinions delivered by the group shall be meaningful and complete. Minutes shall be drafted by the secretariat under the responsibility of the Chair.</w:t>
      </w:r>
    </w:p>
    <w:p w14:paraId="48D11E53" w14:textId="2252166F" w:rsidR="00F7052A" w:rsidRPr="00F7052A" w:rsidRDefault="00D12CAC" w:rsidP="00B17431">
      <w:pPr>
        <w:pStyle w:val="ManualNumPar1"/>
        <w:numPr>
          <w:ilvl w:val="6"/>
          <w:numId w:val="34"/>
        </w:numPr>
        <w:ind w:left="709"/>
        <w:rPr>
          <w:noProof/>
        </w:rPr>
      </w:pPr>
      <w:r>
        <w:rPr>
          <w:noProof/>
        </w:rPr>
        <w:t>As far as possible, t</w:t>
      </w:r>
      <w:r w:rsidR="003B5BC0" w:rsidRPr="004D4B69">
        <w:rPr>
          <w:noProof/>
        </w:rPr>
        <w:t xml:space="preserve">he group shall adopt its opinions, recommendations or reports by consensus. In the event of a vote, the outcome of the vote shall be decided by simple majority of the members. Members who have voted against </w:t>
      </w:r>
      <w:r>
        <w:rPr>
          <w:noProof/>
        </w:rPr>
        <w:t xml:space="preserve">or abstained </w:t>
      </w:r>
      <w:r w:rsidR="003B5BC0" w:rsidRPr="004D4B69">
        <w:rPr>
          <w:noProof/>
        </w:rPr>
        <w:t>shall have the right to have a document summarising the reasons for their position annexed to the opinions, recommendations or reports.</w:t>
      </w:r>
    </w:p>
    <w:p w14:paraId="68B18418" w14:textId="77777777" w:rsidR="00CE039D" w:rsidRPr="002B5753" w:rsidRDefault="00CE039D" w:rsidP="00C70265">
      <w:pPr>
        <w:pStyle w:val="Heading1"/>
        <w:tabs>
          <w:tab w:val="num" w:pos="284"/>
        </w:tabs>
        <w:spacing w:after="240"/>
        <w:ind w:hanging="1418"/>
        <w:rPr>
          <w:noProof/>
        </w:rPr>
      </w:pPr>
      <w:r w:rsidRPr="002B5753">
        <w:rPr>
          <w:noProof/>
        </w:rPr>
        <w:t>Invited experts</w:t>
      </w:r>
    </w:p>
    <w:p w14:paraId="7D257AB6" w14:textId="009D3684" w:rsidR="00CE039D" w:rsidRDefault="00CE039D" w:rsidP="002B5753">
      <w:pPr>
        <w:pStyle w:val="ManualNumPar1"/>
        <w:ind w:left="0" w:firstLine="0"/>
        <w:rPr>
          <w:noProof/>
        </w:rPr>
      </w:pPr>
      <w:r w:rsidRPr="002B5753">
        <w:rPr>
          <w:noProof/>
        </w:rPr>
        <w:t>DG</w:t>
      </w:r>
      <w:r w:rsidR="005E6F98" w:rsidRPr="002B5753">
        <w:rPr>
          <w:noProof/>
        </w:rPr>
        <w:t xml:space="preserve"> </w:t>
      </w:r>
      <w:r w:rsidR="00F57C65">
        <w:rPr>
          <w:noProof/>
        </w:rPr>
        <w:t>ENV</w:t>
      </w:r>
      <w:r w:rsidR="003B5BC0">
        <w:rPr>
          <w:noProof/>
        </w:rPr>
        <w:t xml:space="preserve"> </w:t>
      </w:r>
      <w:r w:rsidRPr="002B5753">
        <w:rPr>
          <w:noProof/>
        </w:rPr>
        <w:t xml:space="preserve">may invite experts with specific expertise with respect to a subject matter on the agenda to take part in the work of the group or sub-groups on an </w:t>
      </w:r>
      <w:r w:rsidRPr="00E56C50">
        <w:rPr>
          <w:i/>
          <w:noProof/>
        </w:rPr>
        <w:t>ad hoc</w:t>
      </w:r>
      <w:r w:rsidRPr="002B5753">
        <w:rPr>
          <w:noProof/>
        </w:rPr>
        <w:t xml:space="preserve"> basis.</w:t>
      </w:r>
    </w:p>
    <w:p w14:paraId="1C43C64A" w14:textId="77777777" w:rsidR="001D4F35" w:rsidRPr="00465173" w:rsidRDefault="001D4F35" w:rsidP="00465173">
      <w:pPr>
        <w:rPr>
          <w:lang w:val="en-IE"/>
        </w:rPr>
      </w:pPr>
    </w:p>
    <w:p w14:paraId="4B3F896D" w14:textId="77777777" w:rsidR="00CE039D" w:rsidRPr="002B5753" w:rsidRDefault="00CE039D" w:rsidP="00C70265">
      <w:pPr>
        <w:pStyle w:val="Heading1"/>
        <w:tabs>
          <w:tab w:val="num" w:pos="284"/>
        </w:tabs>
        <w:spacing w:after="240"/>
        <w:ind w:left="425" w:hanging="425"/>
        <w:rPr>
          <w:noProof/>
        </w:rPr>
      </w:pPr>
      <w:r w:rsidRPr="002B5753">
        <w:rPr>
          <w:noProof/>
        </w:rPr>
        <w:t>Rules of procedure</w:t>
      </w:r>
    </w:p>
    <w:p w14:paraId="5F87FD20" w14:textId="08C8349E" w:rsidR="003B5BC0" w:rsidRDefault="00F57C65" w:rsidP="003B5BC0">
      <w:pPr>
        <w:rPr>
          <w:noProof/>
        </w:rPr>
      </w:pPr>
      <w:r>
        <w:rPr>
          <w:noProof/>
        </w:rPr>
        <w:t>The s</w:t>
      </w:r>
      <w:r w:rsidR="0097695B">
        <w:rPr>
          <w:noProof/>
        </w:rPr>
        <w:t xml:space="preserve">ubgroup shall operate in compliance with the </w:t>
      </w:r>
      <w:r>
        <w:rPr>
          <w:noProof/>
        </w:rPr>
        <w:t xml:space="preserve">expert </w:t>
      </w:r>
      <w:r w:rsidR="0097695B">
        <w:rPr>
          <w:noProof/>
        </w:rPr>
        <w:t>group’s rules of procedure.</w:t>
      </w:r>
    </w:p>
    <w:p w14:paraId="21B0D963" w14:textId="77777777" w:rsidR="00CE039D" w:rsidRPr="002B5753" w:rsidRDefault="00CE039D" w:rsidP="00C70265">
      <w:pPr>
        <w:pStyle w:val="Heading1"/>
        <w:tabs>
          <w:tab w:val="num" w:pos="284"/>
        </w:tabs>
        <w:spacing w:after="240"/>
        <w:ind w:left="425" w:hanging="425"/>
        <w:rPr>
          <w:noProof/>
        </w:rPr>
      </w:pPr>
      <w:r w:rsidRPr="002B5753">
        <w:rPr>
          <w:noProof/>
        </w:rPr>
        <w:lastRenderedPageBreak/>
        <w:t>Transparency</w:t>
      </w:r>
    </w:p>
    <w:p w14:paraId="189064D0" w14:textId="195E5F9E" w:rsidR="003B5BC0" w:rsidRPr="004D4B69" w:rsidRDefault="003B5BC0" w:rsidP="003B5BC0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 w:rsidRPr="004D4B69">
        <w:rPr>
          <w:noProof/>
        </w:rPr>
        <w:t xml:space="preserve">The </w:t>
      </w:r>
      <w:r w:rsidR="00B2747C">
        <w:rPr>
          <w:noProof/>
        </w:rPr>
        <w:t>sub</w:t>
      </w:r>
      <w:r w:rsidRPr="004D4B69">
        <w:rPr>
          <w:noProof/>
        </w:rPr>
        <w:t xml:space="preserve">group shall be registered in the Register of </w:t>
      </w:r>
      <w:r w:rsidR="003507DD">
        <w:rPr>
          <w:noProof/>
        </w:rPr>
        <w:t xml:space="preserve">Commission </w:t>
      </w:r>
      <w:r w:rsidRPr="004D4B69">
        <w:rPr>
          <w:noProof/>
        </w:rPr>
        <w:t>expert groups</w:t>
      </w:r>
      <w:r w:rsidR="003507DD">
        <w:rPr>
          <w:noProof/>
        </w:rPr>
        <w:t xml:space="preserve"> and other similar entities (‘the Register of expert groups’)</w:t>
      </w:r>
      <w:r w:rsidRPr="004D4B69">
        <w:rPr>
          <w:noProof/>
        </w:rPr>
        <w:t>.</w:t>
      </w:r>
    </w:p>
    <w:p w14:paraId="17D5317B" w14:textId="68FB2745" w:rsidR="003B5BC0" w:rsidRDefault="00B2747C" w:rsidP="003B5BC0">
      <w:pPr>
        <w:pStyle w:val="ManualNumPar1"/>
        <w:rPr>
          <w:noProof/>
          <w:lang w:eastAsia="en-GB"/>
        </w:rPr>
      </w:pPr>
      <w:r>
        <w:rPr>
          <w:noProof/>
        </w:rPr>
        <w:t>2</w:t>
      </w:r>
      <w:r w:rsidR="003B5BC0">
        <w:rPr>
          <w:noProof/>
          <w:lang w:eastAsia="en-GB"/>
        </w:rPr>
        <w:t>.</w:t>
      </w:r>
      <w:r w:rsidR="003B5BC0">
        <w:rPr>
          <w:noProof/>
          <w:lang w:eastAsia="en-GB"/>
        </w:rPr>
        <w:tab/>
      </w:r>
      <w:r w:rsidR="003B5BC0" w:rsidRPr="004D4B69">
        <w:rPr>
          <w:noProof/>
          <w:lang w:eastAsia="en-GB"/>
        </w:rPr>
        <w:t xml:space="preserve">All relevant documents, including the agendas, the minutes and the participants’ submissions, shall be made available </w:t>
      </w:r>
      <w:r w:rsidR="003B5BC0" w:rsidRPr="00F01133">
        <w:rPr>
          <w:noProof/>
          <w:lang w:eastAsia="en-GB"/>
        </w:rPr>
        <w:t>via</w:t>
      </w:r>
      <w:r w:rsidR="003B5BC0" w:rsidRPr="004D4B69">
        <w:rPr>
          <w:noProof/>
          <w:lang w:eastAsia="en-GB"/>
        </w:rPr>
        <w:t xml:space="preserve"> a link from the Register to a dedicated website, where this information can be found. Access to dedicated websites shall not be submitted to user registration or any other restriction. In particular, </w:t>
      </w:r>
      <w:r w:rsidR="00BF277A" w:rsidRPr="004D4B69">
        <w:rPr>
          <w:noProof/>
        </w:rPr>
        <w:t xml:space="preserve">DG </w:t>
      </w:r>
      <w:r>
        <w:rPr>
          <w:noProof/>
        </w:rPr>
        <w:t>ENV</w:t>
      </w:r>
      <w:r w:rsidR="00BF277A" w:rsidRPr="004D4B69">
        <w:rPr>
          <w:noProof/>
        </w:rPr>
        <w:t xml:space="preserve"> </w:t>
      </w:r>
      <w:r w:rsidR="00BF277A">
        <w:rPr>
          <w:noProof/>
        </w:rPr>
        <w:t xml:space="preserve">shall publish </w:t>
      </w:r>
      <w:r w:rsidR="003B5BC0" w:rsidRPr="004D4B69">
        <w:rPr>
          <w:noProof/>
          <w:lang w:eastAsia="en-GB"/>
        </w:rPr>
        <w:t xml:space="preserve">the agenda and other relevant background documents in due time ahead of the meeting, followed by timely publication of minutes. Exceptions to publication shall only be </w:t>
      </w:r>
      <w:r w:rsidR="00FF29B7">
        <w:rPr>
          <w:noProof/>
          <w:lang w:eastAsia="en-GB"/>
        </w:rPr>
        <w:t>possible</w:t>
      </w:r>
      <w:r w:rsidR="00FF29B7" w:rsidRPr="004D4B69">
        <w:rPr>
          <w:noProof/>
          <w:lang w:eastAsia="en-GB"/>
        </w:rPr>
        <w:t xml:space="preserve"> </w:t>
      </w:r>
      <w:r w:rsidR="003B5BC0" w:rsidRPr="004D4B69">
        <w:rPr>
          <w:noProof/>
          <w:lang w:eastAsia="en-GB"/>
        </w:rPr>
        <w:t>where it is deemed that disclosure of a document would undermine the protection of a public or private interest as defined in Article 4 of Regulation (EC) N° 1049/2001</w:t>
      </w:r>
      <w:r w:rsidR="003B5BC0" w:rsidRPr="006010E7">
        <w:rPr>
          <w:rStyle w:val="FootnoteReference"/>
        </w:rPr>
        <w:footnoteReference w:id="4"/>
      </w:r>
      <w:r w:rsidR="003B5BC0" w:rsidRPr="004D4B69">
        <w:rPr>
          <w:noProof/>
          <w:lang w:eastAsia="en-GB"/>
        </w:rPr>
        <w:t>.</w:t>
      </w:r>
    </w:p>
    <w:p w14:paraId="68D7F1B4" w14:textId="77777777" w:rsidR="00CE039D" w:rsidRPr="002B5753" w:rsidRDefault="00CE039D" w:rsidP="00C70265">
      <w:pPr>
        <w:pStyle w:val="Heading1"/>
        <w:tabs>
          <w:tab w:val="num" w:pos="284"/>
        </w:tabs>
        <w:spacing w:after="240"/>
        <w:ind w:left="425" w:hanging="425"/>
        <w:rPr>
          <w:noProof/>
        </w:rPr>
      </w:pPr>
      <w:r w:rsidRPr="002B5753">
        <w:rPr>
          <w:noProof/>
        </w:rPr>
        <w:t>Meeting expenses</w:t>
      </w:r>
    </w:p>
    <w:p w14:paraId="3F60852B" w14:textId="75697421" w:rsidR="003B5BC0" w:rsidRPr="004D4B69" w:rsidRDefault="003B5BC0" w:rsidP="003B5BC0">
      <w:pPr>
        <w:pStyle w:val="ManualNumPar1"/>
        <w:rPr>
          <w:noProof/>
        </w:rPr>
      </w:pPr>
      <w:r w:rsidRPr="004D4B69">
        <w:rPr>
          <w:noProof/>
        </w:rPr>
        <w:t>1.</w:t>
      </w:r>
      <w:r w:rsidRPr="004D4B69">
        <w:rPr>
          <w:noProof/>
        </w:rPr>
        <w:tab/>
        <w:t xml:space="preserve">Participants in the activities of the </w:t>
      </w:r>
      <w:r w:rsidR="00A644C8">
        <w:rPr>
          <w:noProof/>
        </w:rPr>
        <w:t>sub</w:t>
      </w:r>
      <w:r w:rsidRPr="004D4B69">
        <w:rPr>
          <w:noProof/>
        </w:rPr>
        <w:t>group shall not be remunerated for the services they offer.</w:t>
      </w:r>
    </w:p>
    <w:p w14:paraId="74E1A958" w14:textId="123042A7" w:rsidR="003B5BC0" w:rsidRDefault="003B5BC0" w:rsidP="003B5BC0">
      <w:pPr>
        <w:pStyle w:val="ManualNumPar1"/>
        <w:rPr>
          <w:noProof/>
        </w:rPr>
      </w:pPr>
      <w:r w:rsidRPr="004D4B69">
        <w:rPr>
          <w:noProof/>
        </w:rPr>
        <w:t>2.</w:t>
      </w:r>
      <w:r w:rsidRPr="004D4B69">
        <w:rPr>
          <w:noProof/>
        </w:rPr>
        <w:tab/>
        <w:t xml:space="preserve">Travel and subsistence expenses incurred by participants in the activities of the </w:t>
      </w:r>
      <w:r w:rsidR="00A644C8">
        <w:rPr>
          <w:noProof/>
        </w:rPr>
        <w:t>sub</w:t>
      </w:r>
      <w:r w:rsidRPr="004D4B69">
        <w:rPr>
          <w:noProof/>
        </w:rPr>
        <w:t>group</w:t>
      </w:r>
      <w:r w:rsidR="00A644C8">
        <w:rPr>
          <w:noProof/>
        </w:rPr>
        <w:t xml:space="preserve"> </w:t>
      </w:r>
      <w:r>
        <w:rPr>
          <w:noProof/>
        </w:rPr>
        <w:t>shall not</w:t>
      </w:r>
      <w:r w:rsidRPr="004D4B69">
        <w:rPr>
          <w:noProof/>
        </w:rPr>
        <w:t xml:space="preserve"> be reimbursed by the Commission. </w:t>
      </w:r>
    </w:p>
    <w:p w14:paraId="102A964C" w14:textId="77777777" w:rsidR="00320342" w:rsidRDefault="00320342" w:rsidP="00320342"/>
    <w:p w14:paraId="4CD4A8DE" w14:textId="510FDE10" w:rsidR="00320342" w:rsidRPr="00320342" w:rsidRDefault="00122495" w:rsidP="00320342">
      <w:r>
        <w:t xml:space="preserve">Done in Brussels on </w:t>
      </w:r>
      <w:r w:rsidR="003B5BC0">
        <w:t>[date]</w:t>
      </w:r>
      <w:r w:rsidR="008F5107">
        <w:t>.</w:t>
      </w:r>
    </w:p>
    <w:sectPr w:rsidR="00320342" w:rsidRPr="00320342" w:rsidSect="00A972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39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D1DA" w14:textId="77777777" w:rsidR="00BF7131" w:rsidRDefault="00BF7131">
      <w:pPr>
        <w:spacing w:before="0" w:after="0"/>
      </w:pPr>
      <w:r>
        <w:separator/>
      </w:r>
    </w:p>
  </w:endnote>
  <w:endnote w:type="continuationSeparator" w:id="0">
    <w:p w14:paraId="08DAB522" w14:textId="77777777" w:rsidR="00BF7131" w:rsidRDefault="00BF71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1788" w14:textId="77777777" w:rsidR="00A972F9" w:rsidRDefault="00A97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721D" w14:textId="70048E7A" w:rsidR="00CA5497" w:rsidRDefault="00CA5497" w:rsidP="00CA5497">
    <w:pPr>
      <w:pStyle w:val="Footer"/>
      <w:jc w:val="center"/>
    </w:pPr>
    <w:r>
      <w:tab/>
    </w:r>
    <w:r>
      <w:tab/>
    </w:r>
    <w:sdt>
      <w:sdtPr>
        <w:id w:val="-17427099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5832" w14:textId="77777777" w:rsidR="00A972F9" w:rsidRDefault="00A97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BC50" w14:textId="77777777" w:rsidR="00BF7131" w:rsidRDefault="00BF7131">
      <w:pPr>
        <w:spacing w:before="0" w:after="0"/>
      </w:pPr>
      <w:r>
        <w:separator/>
      </w:r>
    </w:p>
  </w:footnote>
  <w:footnote w:type="continuationSeparator" w:id="0">
    <w:p w14:paraId="21D8A85F" w14:textId="77777777" w:rsidR="00BF7131" w:rsidRDefault="00BF7131">
      <w:pPr>
        <w:spacing w:before="0" w:after="0"/>
      </w:pPr>
      <w:r>
        <w:continuationSeparator/>
      </w:r>
    </w:p>
  </w:footnote>
  <w:footnote w:id="1">
    <w:p w14:paraId="141B6F4A" w14:textId="77777777" w:rsidR="003A1B98" w:rsidRPr="000E2547" w:rsidRDefault="003A1B98" w:rsidP="003A1B98">
      <w:pPr>
        <w:pStyle w:val="FootnoteText"/>
        <w:spacing w:after="60"/>
        <w:ind w:left="142" w:hanging="142"/>
        <w:rPr>
          <w:lang w:val="en-IE"/>
        </w:rPr>
      </w:pPr>
      <w:r>
        <w:rPr>
          <w:rStyle w:val="FootnoteReference"/>
        </w:rPr>
        <w:footnoteRef/>
      </w:r>
      <w:r w:rsidRPr="004E2E2A">
        <w:t xml:space="preserve"> </w:t>
      </w:r>
      <w:r w:rsidRPr="004E2E2A">
        <w:tab/>
      </w:r>
      <w:hyperlink r:id="rId1" w:history="1">
        <w:r w:rsidRPr="004E2E2A">
          <w:rPr>
            <w:rStyle w:val="Hyperlink"/>
            <w:lang w:val="en-IE"/>
          </w:rPr>
          <w:t>Directive (EU) 2020/2184</w:t>
        </w:r>
      </w:hyperlink>
      <w:r w:rsidRPr="004E2E2A">
        <w:rPr>
          <w:lang w:val="en-IE"/>
        </w:rPr>
        <w:t xml:space="preserve"> on the quality of water intended for human consumption, </w:t>
      </w:r>
      <w:r w:rsidRPr="004E2E2A">
        <w:rPr>
          <w:i/>
          <w:lang w:val="en-IE"/>
        </w:rPr>
        <w:t>OJ L435, 23.12.2020, p.1-62.</w:t>
      </w:r>
    </w:p>
  </w:footnote>
  <w:footnote w:id="2">
    <w:p w14:paraId="343AA036" w14:textId="05B2C1BD" w:rsidR="000D41BE" w:rsidRPr="000D41BE" w:rsidRDefault="000D41B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D41BE">
          <w:rPr>
            <w:rStyle w:val="Hyperlink"/>
            <w:lang w:val="fr-BE"/>
          </w:rPr>
          <w:t>E03030</w:t>
        </w:r>
      </w:hyperlink>
    </w:p>
  </w:footnote>
  <w:footnote w:id="3">
    <w:p w14:paraId="368887C6" w14:textId="59468902" w:rsidR="003B5BC0" w:rsidRPr="0016330B" w:rsidRDefault="003B5BC0" w:rsidP="003B5BC0">
      <w:pPr>
        <w:pStyle w:val="FootnoteText"/>
        <w:rPr>
          <w:lang w:val="en-IE"/>
        </w:rPr>
      </w:pPr>
      <w:r w:rsidRPr="006010E7">
        <w:rPr>
          <w:rStyle w:val="FootnoteReference"/>
        </w:rPr>
        <w:footnoteRef/>
      </w:r>
      <w:r w:rsidRPr="0016330B">
        <w:rPr>
          <w:lang w:val="en-IE"/>
        </w:rPr>
        <w:tab/>
      </w:r>
      <w:proofErr w:type="gramStart"/>
      <w:r w:rsidR="00174F7E" w:rsidRPr="0016330B">
        <w:rPr>
          <w:lang w:val="en-IE"/>
        </w:rPr>
        <w:t>C(</w:t>
      </w:r>
      <w:proofErr w:type="gramEnd"/>
      <w:r w:rsidR="00174F7E" w:rsidRPr="0016330B">
        <w:rPr>
          <w:lang w:val="en-IE"/>
        </w:rPr>
        <w:t xml:space="preserve">2016) 3301, </w:t>
      </w:r>
      <w:r w:rsidRPr="0016330B">
        <w:rPr>
          <w:lang w:val="en-IE"/>
        </w:rPr>
        <w:t>Article 13.1.</w:t>
      </w:r>
    </w:p>
  </w:footnote>
  <w:footnote w:id="4">
    <w:p w14:paraId="32ABE6AE" w14:textId="77777777" w:rsidR="003B5BC0" w:rsidRDefault="003B5BC0" w:rsidP="003B5BC0">
      <w:pPr>
        <w:pStyle w:val="FootnoteText"/>
      </w:pPr>
      <w:r w:rsidRPr="006010E7">
        <w:rPr>
          <w:rStyle w:val="FootnoteReference"/>
        </w:rPr>
        <w:footnoteRef/>
      </w:r>
      <w:r>
        <w:tab/>
        <w:t xml:space="preserve">These exceptions are intended to protect public security, military affairs, international relations, financial, </w:t>
      </w:r>
      <w:proofErr w:type="gramStart"/>
      <w:r>
        <w:t>monetary</w:t>
      </w:r>
      <w:proofErr w:type="gramEnd"/>
      <w:r>
        <w:t xml:space="preserve"> or economic policy, privacy and integrity of the individual, commercial interests, court proceedings and legal advice, inspections/investigations/audits and the institution's decision-making process.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2339" w14:textId="77777777" w:rsidR="00A972F9" w:rsidRDefault="00A97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416067"/>
      <w:docPartObj>
        <w:docPartGallery w:val="Watermarks"/>
        <w:docPartUnique/>
      </w:docPartObj>
    </w:sdtPr>
    <w:sdtContent>
      <w:p w14:paraId="4FF50E8B" w14:textId="6ACBFE98" w:rsidR="00A972F9" w:rsidRDefault="00F246F8">
        <w:pPr>
          <w:pStyle w:val="Header"/>
        </w:pPr>
        <w:r>
          <w:rPr>
            <w:noProof/>
          </w:rPr>
          <w:pict w14:anchorId="6139E2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276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DA5F" w14:textId="77777777" w:rsidR="00A972F9" w:rsidRDefault="00A97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F2A6DEC"/>
    <w:multiLevelType w:val="hybridMultilevel"/>
    <w:tmpl w:val="804A36CE"/>
    <w:lvl w:ilvl="0" w:tplc="9398CA0A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2DD5905"/>
    <w:multiLevelType w:val="singleLevel"/>
    <w:tmpl w:val="6CB4B73E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4" w15:restartNumberingAfterBreak="0">
    <w:nsid w:val="1A8223B1"/>
    <w:multiLevelType w:val="hybridMultilevel"/>
    <w:tmpl w:val="9D820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910F4F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 w15:restartNumberingAfterBreak="0">
    <w:nsid w:val="1C8138E9"/>
    <w:multiLevelType w:val="multilevel"/>
    <w:tmpl w:val="E6E2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315384"/>
    <w:multiLevelType w:val="hybridMultilevel"/>
    <w:tmpl w:val="D32CF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 w15:restartNumberingAfterBreak="0">
    <w:nsid w:val="313D3ECD"/>
    <w:multiLevelType w:val="multilevel"/>
    <w:tmpl w:val="F60A72E4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339E02FA"/>
    <w:multiLevelType w:val="hybridMultilevel"/>
    <w:tmpl w:val="A0485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53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3C90278F"/>
    <w:multiLevelType w:val="singleLevel"/>
    <w:tmpl w:val="0FE0897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 w15:restartNumberingAfterBreak="0">
    <w:nsid w:val="3E191884"/>
    <w:multiLevelType w:val="singleLevel"/>
    <w:tmpl w:val="3020C764"/>
    <w:name w:val="List Bullet 2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42E05BAC"/>
    <w:multiLevelType w:val="singleLevel"/>
    <w:tmpl w:val="FA7857F4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46416817"/>
    <w:multiLevelType w:val="singleLevel"/>
    <w:tmpl w:val="ABE4C590"/>
    <w:name w:val="List Number 2"/>
    <w:lvl w:ilvl="0">
      <w:start w:val="1"/>
      <w:numFmt w:val="bullet"/>
      <w:lvlRestart w:val="0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48842C30"/>
    <w:multiLevelType w:val="singleLevel"/>
    <w:tmpl w:val="4FA60B9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 w15:restartNumberingAfterBreak="0">
    <w:nsid w:val="4A486B94"/>
    <w:multiLevelType w:val="multilevel"/>
    <w:tmpl w:val="9DB48DF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C1B7A6F"/>
    <w:multiLevelType w:val="singleLevel"/>
    <w:tmpl w:val="0A7CB49A"/>
    <w:name w:val="Default"/>
    <w:lvl w:ilvl="0">
      <w:start w:val="1"/>
      <w:numFmt w:val="bullet"/>
      <w:lvlRestart w:val="0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4" w15:restartNumberingAfterBreak="0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5" w15:restartNumberingAfterBreak="0">
    <w:nsid w:val="568864DC"/>
    <w:multiLevelType w:val="singleLevel"/>
    <w:tmpl w:val="485EBDA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 w15:restartNumberingAfterBreak="0">
    <w:nsid w:val="5F342530"/>
    <w:multiLevelType w:val="singleLevel"/>
    <w:tmpl w:val="D5444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8" w15:restartNumberingAfterBreak="0">
    <w:nsid w:val="5F9C40AA"/>
    <w:multiLevelType w:val="singleLevel"/>
    <w:tmpl w:val="B89CB5A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62970F71"/>
    <w:multiLevelType w:val="singleLevel"/>
    <w:tmpl w:val="5AFA8C72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0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1" w15:restartNumberingAfterBreak="0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2" w15:restartNumberingAfterBreak="0">
    <w:nsid w:val="6A6901C1"/>
    <w:multiLevelType w:val="singleLevel"/>
    <w:tmpl w:val="208841AE"/>
    <w:name w:val="List Dash 2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3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5C26F71"/>
    <w:multiLevelType w:val="multilevel"/>
    <w:tmpl w:val="E01E770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1418"/>
        </w:tabs>
        <w:ind w:left="1418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 w15:restartNumberingAfterBreak="0">
    <w:nsid w:val="79C96D36"/>
    <w:multiLevelType w:val="multilevel"/>
    <w:tmpl w:val="BE983CE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277"/>
        </w:tabs>
        <w:ind w:left="127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8" w15:restartNumberingAfterBreak="0">
    <w:nsid w:val="7D8820A0"/>
    <w:multiLevelType w:val="singleLevel"/>
    <w:tmpl w:val="54F6C7B4"/>
    <w:name w:val="List Number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9" w15:restartNumberingAfterBreak="0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 w16cid:durableId="212817516">
    <w:abstractNumId w:val="24"/>
  </w:num>
  <w:num w:numId="2" w16cid:durableId="308561002">
    <w:abstractNumId w:val="10"/>
  </w:num>
  <w:num w:numId="3" w16cid:durableId="96679294">
    <w:abstractNumId w:val="28"/>
  </w:num>
  <w:num w:numId="4" w16cid:durableId="1393964907">
    <w:abstractNumId w:val="27"/>
  </w:num>
  <w:num w:numId="5" w16cid:durableId="965623213">
    <w:abstractNumId w:val="21"/>
  </w:num>
  <w:num w:numId="6" w16cid:durableId="665283893">
    <w:abstractNumId w:val="31"/>
  </w:num>
  <w:num w:numId="7" w16cid:durableId="330066998">
    <w:abstractNumId w:val="34"/>
  </w:num>
  <w:num w:numId="8" w16cid:durableId="598678094">
    <w:abstractNumId w:val="33"/>
  </w:num>
  <w:num w:numId="9" w16cid:durableId="1425757920">
    <w:abstractNumId w:val="37"/>
  </w:num>
  <w:num w:numId="10" w16cid:durableId="1486553563">
    <w:abstractNumId w:val="15"/>
  </w:num>
  <w:num w:numId="11" w16cid:durableId="1288193961">
    <w:abstractNumId w:val="14"/>
  </w:num>
  <w:num w:numId="12" w16cid:durableId="185825473">
    <w:abstractNumId w:val="29"/>
  </w:num>
  <w:num w:numId="13" w16cid:durableId="1936815678">
    <w:abstractNumId w:val="16"/>
  </w:num>
  <w:num w:numId="14" w16cid:durableId="423845611">
    <w:abstractNumId w:val="25"/>
  </w:num>
  <w:num w:numId="15" w16cid:durableId="2050102111">
    <w:abstractNumId w:val="32"/>
  </w:num>
  <w:num w:numId="16" w16cid:durableId="1365255298">
    <w:abstractNumId w:val="3"/>
  </w:num>
  <w:num w:numId="17" w16cid:durableId="1051198556">
    <w:abstractNumId w:val="17"/>
  </w:num>
  <w:num w:numId="18" w16cid:durableId="1940216661">
    <w:abstractNumId w:val="39"/>
  </w:num>
  <w:num w:numId="19" w16cid:durableId="159082471">
    <w:abstractNumId w:val="18"/>
  </w:num>
  <w:num w:numId="20" w16cid:durableId="1920285378">
    <w:abstractNumId w:val="30"/>
  </w:num>
  <w:num w:numId="21" w16cid:durableId="845754675">
    <w:abstractNumId w:val="26"/>
  </w:num>
  <w:num w:numId="22" w16cid:durableId="1136610026">
    <w:abstractNumId w:val="35"/>
  </w:num>
  <w:num w:numId="23" w16cid:durableId="1913198962">
    <w:abstractNumId w:val="38"/>
  </w:num>
  <w:num w:numId="24" w16cid:durableId="735670184">
    <w:abstractNumId w:val="36"/>
  </w:num>
  <w:num w:numId="25" w16cid:durableId="1135752948">
    <w:abstractNumId w:val="9"/>
  </w:num>
  <w:num w:numId="26" w16cid:durableId="694425349">
    <w:abstractNumId w:val="1"/>
  </w:num>
  <w:num w:numId="27" w16cid:durableId="1360155673">
    <w:abstractNumId w:val="0"/>
  </w:num>
  <w:num w:numId="28" w16cid:durableId="1845584039">
    <w:abstractNumId w:val="19"/>
  </w:num>
  <w:num w:numId="29" w16cid:durableId="1836607255">
    <w:abstractNumId w:val="2"/>
  </w:num>
  <w:num w:numId="30" w16cid:durableId="707488542">
    <w:abstractNumId w:val="11"/>
  </w:num>
  <w:num w:numId="31" w16cid:durableId="1264265529">
    <w:abstractNumId w:val="22"/>
  </w:num>
  <w:num w:numId="32" w16cid:durableId="672487984">
    <w:abstractNumId w:val="4"/>
  </w:num>
  <w:num w:numId="33" w16cid:durableId="1558972138">
    <w:abstractNumId w:val="8"/>
  </w:num>
  <w:num w:numId="34" w16cid:durableId="608970191">
    <w:abstractNumId w:val="13"/>
  </w:num>
  <w:num w:numId="35" w16cid:durableId="1975332045">
    <w:abstractNumId w:val="12"/>
  </w:num>
  <w:num w:numId="36" w16cid:durableId="2089887020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70"/>
    <o:shapelayout v:ext="edit">
      <o:idmap v:ext="edit" data="3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Status" w:val="Red"/>
    <w:docVar w:name="LW_ACCOMPAGNANT.CP" w:val="to the "/>
    <w:docVar w:name="LW_ANNEX_NBR_FIRST" w:val="1"/>
    <w:docVar w:name="LW_ANNEX_NBR_LAST" w:val="8"/>
    <w:docVar w:name="LW_CORRIGENDUM" w:val="&lt;UNUSED&gt;"/>
    <w:docVar w:name="LW_COVERPAGE_EXISTS" w:val="False"/>
    <w:docVar w:name="LW_COVERPAGE_GUID" w:val="B484FB43F7144C569082538D5D67165E"/>
    <w:docVar w:name="LW_CROSSREFERENCE" w:val="&lt;UNUSED&gt;"/>
    <w:docVar w:name="LW_DocType" w:val="NORMAL"/>
    <w:docVar w:name="LW_EMISSION" w:val="30.5.2016"/>
    <w:docVar w:name="LW_EMISSION_ISODATE" w:val="2016-05-30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horizontal rules on the creation and operation of Commission expert groups_x000b__x000b_"/>
    <w:docVar w:name="LW_PART_NBR" w:val="&lt;UNUSED&gt;"/>
    <w:docVar w:name="LW_PART_NBR_TOTAL" w:val="&lt;UNUSED&gt;"/>
    <w:docVar w:name="LW_REF.INST.NEW" w:val="C"/>
    <w:docVar w:name="LW_REF.INST.NEW_ADOPTED" w:val="final"/>
    <w:docVar w:name="LW_REF.INST.NEW_TEXT" w:val="(2016) 3301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ES_x000b_"/>
    <w:docVar w:name="LW_TYPEACTEPRINCIPAL.CP" w:val="Commission Decision of 30.5.2016"/>
  </w:docVars>
  <w:rsids>
    <w:rsidRoot w:val="009D6654"/>
    <w:rsid w:val="000000D1"/>
    <w:rsid w:val="00001E2A"/>
    <w:rsid w:val="000048C2"/>
    <w:rsid w:val="0003041C"/>
    <w:rsid w:val="00032E0A"/>
    <w:rsid w:val="00037A32"/>
    <w:rsid w:val="000407C4"/>
    <w:rsid w:val="00052B63"/>
    <w:rsid w:val="0006376B"/>
    <w:rsid w:val="00076EDA"/>
    <w:rsid w:val="00083DBF"/>
    <w:rsid w:val="000A2FA5"/>
    <w:rsid w:val="000A3526"/>
    <w:rsid w:val="000A401B"/>
    <w:rsid w:val="000B1250"/>
    <w:rsid w:val="000C1C90"/>
    <w:rsid w:val="000C1CFE"/>
    <w:rsid w:val="000D2EDC"/>
    <w:rsid w:val="000D41BE"/>
    <w:rsid w:val="000F0855"/>
    <w:rsid w:val="000F7D3F"/>
    <w:rsid w:val="00115AA2"/>
    <w:rsid w:val="001210EB"/>
    <w:rsid w:val="00121C0B"/>
    <w:rsid w:val="00122495"/>
    <w:rsid w:val="00142839"/>
    <w:rsid w:val="001454A7"/>
    <w:rsid w:val="001501FD"/>
    <w:rsid w:val="00161ADC"/>
    <w:rsid w:val="00161E3C"/>
    <w:rsid w:val="0016330B"/>
    <w:rsid w:val="00171B6B"/>
    <w:rsid w:val="0017276A"/>
    <w:rsid w:val="00172E85"/>
    <w:rsid w:val="00173D66"/>
    <w:rsid w:val="00174F7E"/>
    <w:rsid w:val="00180C8E"/>
    <w:rsid w:val="001813DA"/>
    <w:rsid w:val="0018772D"/>
    <w:rsid w:val="001A21E3"/>
    <w:rsid w:val="001A6AC9"/>
    <w:rsid w:val="001C5D78"/>
    <w:rsid w:val="001D3BDA"/>
    <w:rsid w:val="001D4F35"/>
    <w:rsid w:val="001E7248"/>
    <w:rsid w:val="0020016E"/>
    <w:rsid w:val="00203F4E"/>
    <w:rsid w:val="0020711D"/>
    <w:rsid w:val="00224FA7"/>
    <w:rsid w:val="00230C2B"/>
    <w:rsid w:val="00234D32"/>
    <w:rsid w:val="0024112A"/>
    <w:rsid w:val="00243B35"/>
    <w:rsid w:val="00256B97"/>
    <w:rsid w:val="00265A50"/>
    <w:rsid w:val="002707FC"/>
    <w:rsid w:val="00286A1A"/>
    <w:rsid w:val="00293633"/>
    <w:rsid w:val="00295DE2"/>
    <w:rsid w:val="0029677A"/>
    <w:rsid w:val="002A7F94"/>
    <w:rsid w:val="002B5753"/>
    <w:rsid w:val="002B5BD9"/>
    <w:rsid w:val="002C331F"/>
    <w:rsid w:val="002D7137"/>
    <w:rsid w:val="002E05DF"/>
    <w:rsid w:val="002E1CDE"/>
    <w:rsid w:val="002F4953"/>
    <w:rsid w:val="00306342"/>
    <w:rsid w:val="0031470B"/>
    <w:rsid w:val="00320342"/>
    <w:rsid w:val="00322534"/>
    <w:rsid w:val="003272C8"/>
    <w:rsid w:val="003307FB"/>
    <w:rsid w:val="00333067"/>
    <w:rsid w:val="003423CE"/>
    <w:rsid w:val="003507DD"/>
    <w:rsid w:val="00360928"/>
    <w:rsid w:val="00365B85"/>
    <w:rsid w:val="003712A8"/>
    <w:rsid w:val="00371AF8"/>
    <w:rsid w:val="00372E56"/>
    <w:rsid w:val="003958E9"/>
    <w:rsid w:val="00396E0E"/>
    <w:rsid w:val="003A1B98"/>
    <w:rsid w:val="003B24AB"/>
    <w:rsid w:val="003B5BC0"/>
    <w:rsid w:val="003B69FA"/>
    <w:rsid w:val="003D1EB7"/>
    <w:rsid w:val="003D5A82"/>
    <w:rsid w:val="003E0D5C"/>
    <w:rsid w:val="00401331"/>
    <w:rsid w:val="00402148"/>
    <w:rsid w:val="004025C1"/>
    <w:rsid w:val="0041253A"/>
    <w:rsid w:val="00413839"/>
    <w:rsid w:val="004206AD"/>
    <w:rsid w:val="00436C25"/>
    <w:rsid w:val="00444720"/>
    <w:rsid w:val="00455846"/>
    <w:rsid w:val="00457F45"/>
    <w:rsid w:val="00462F82"/>
    <w:rsid w:val="00463399"/>
    <w:rsid w:val="00465173"/>
    <w:rsid w:val="0046628D"/>
    <w:rsid w:val="00470A6E"/>
    <w:rsid w:val="004725F7"/>
    <w:rsid w:val="0049738A"/>
    <w:rsid w:val="004E1475"/>
    <w:rsid w:val="004E2BA9"/>
    <w:rsid w:val="004E50A3"/>
    <w:rsid w:val="004F4B67"/>
    <w:rsid w:val="004F4B92"/>
    <w:rsid w:val="004F767E"/>
    <w:rsid w:val="00505321"/>
    <w:rsid w:val="00511D81"/>
    <w:rsid w:val="00524117"/>
    <w:rsid w:val="00527AAC"/>
    <w:rsid w:val="005323DB"/>
    <w:rsid w:val="00534CFF"/>
    <w:rsid w:val="00543D3C"/>
    <w:rsid w:val="00553BBB"/>
    <w:rsid w:val="00561214"/>
    <w:rsid w:val="00574DD4"/>
    <w:rsid w:val="005805D2"/>
    <w:rsid w:val="005C0F1E"/>
    <w:rsid w:val="005C1E27"/>
    <w:rsid w:val="005C40B5"/>
    <w:rsid w:val="005C5292"/>
    <w:rsid w:val="005C6508"/>
    <w:rsid w:val="005D0D2B"/>
    <w:rsid w:val="005D4FD7"/>
    <w:rsid w:val="005E6E93"/>
    <w:rsid w:val="005E6F98"/>
    <w:rsid w:val="005F239B"/>
    <w:rsid w:val="005F428C"/>
    <w:rsid w:val="005F4A2D"/>
    <w:rsid w:val="005F4C43"/>
    <w:rsid w:val="005F6945"/>
    <w:rsid w:val="00604905"/>
    <w:rsid w:val="006238A4"/>
    <w:rsid w:val="00636CFD"/>
    <w:rsid w:val="00652A14"/>
    <w:rsid w:val="00657C43"/>
    <w:rsid w:val="00667673"/>
    <w:rsid w:val="00672C12"/>
    <w:rsid w:val="006755F6"/>
    <w:rsid w:val="00682EEE"/>
    <w:rsid w:val="006950F2"/>
    <w:rsid w:val="006B58E7"/>
    <w:rsid w:val="006B66E0"/>
    <w:rsid w:val="006E0F76"/>
    <w:rsid w:val="006E7403"/>
    <w:rsid w:val="006E7A87"/>
    <w:rsid w:val="007112CF"/>
    <w:rsid w:val="0072210B"/>
    <w:rsid w:val="00730860"/>
    <w:rsid w:val="00743AC7"/>
    <w:rsid w:val="00744E30"/>
    <w:rsid w:val="00755801"/>
    <w:rsid w:val="00777793"/>
    <w:rsid w:val="007821BB"/>
    <w:rsid w:val="00782412"/>
    <w:rsid w:val="00790FDE"/>
    <w:rsid w:val="007A1C3F"/>
    <w:rsid w:val="007A7BD6"/>
    <w:rsid w:val="007B06F5"/>
    <w:rsid w:val="007B15DB"/>
    <w:rsid w:val="007B6EF2"/>
    <w:rsid w:val="007C615E"/>
    <w:rsid w:val="007F1A72"/>
    <w:rsid w:val="007F36C8"/>
    <w:rsid w:val="007F586A"/>
    <w:rsid w:val="007F6CE6"/>
    <w:rsid w:val="00810336"/>
    <w:rsid w:val="00810F07"/>
    <w:rsid w:val="00812D6D"/>
    <w:rsid w:val="00834285"/>
    <w:rsid w:val="0084205A"/>
    <w:rsid w:val="00850EA6"/>
    <w:rsid w:val="0086550D"/>
    <w:rsid w:val="00867D2A"/>
    <w:rsid w:val="008719E3"/>
    <w:rsid w:val="00873E40"/>
    <w:rsid w:val="00875F82"/>
    <w:rsid w:val="008837F8"/>
    <w:rsid w:val="008969FD"/>
    <w:rsid w:val="008A1EF2"/>
    <w:rsid w:val="008A5D1E"/>
    <w:rsid w:val="008B213B"/>
    <w:rsid w:val="008C08A7"/>
    <w:rsid w:val="008C4D26"/>
    <w:rsid w:val="008D7998"/>
    <w:rsid w:val="008D7FF9"/>
    <w:rsid w:val="008E0963"/>
    <w:rsid w:val="008E104E"/>
    <w:rsid w:val="008F1DD2"/>
    <w:rsid w:val="008F3677"/>
    <w:rsid w:val="008F3CF8"/>
    <w:rsid w:val="008F5107"/>
    <w:rsid w:val="008F5BD0"/>
    <w:rsid w:val="00902A25"/>
    <w:rsid w:val="00905FEB"/>
    <w:rsid w:val="009139F8"/>
    <w:rsid w:val="009229B7"/>
    <w:rsid w:val="00923D39"/>
    <w:rsid w:val="00930451"/>
    <w:rsid w:val="00930A4A"/>
    <w:rsid w:val="00933E26"/>
    <w:rsid w:val="00943A11"/>
    <w:rsid w:val="00945109"/>
    <w:rsid w:val="009513B9"/>
    <w:rsid w:val="009540C2"/>
    <w:rsid w:val="0096499E"/>
    <w:rsid w:val="0097695B"/>
    <w:rsid w:val="00981B7C"/>
    <w:rsid w:val="0098413B"/>
    <w:rsid w:val="00985886"/>
    <w:rsid w:val="00985950"/>
    <w:rsid w:val="009879E1"/>
    <w:rsid w:val="00994EA8"/>
    <w:rsid w:val="009C438E"/>
    <w:rsid w:val="009C4632"/>
    <w:rsid w:val="009C773E"/>
    <w:rsid w:val="009C7ABC"/>
    <w:rsid w:val="009D5103"/>
    <w:rsid w:val="009D6654"/>
    <w:rsid w:val="009E0E46"/>
    <w:rsid w:val="009E0EC9"/>
    <w:rsid w:val="009E615E"/>
    <w:rsid w:val="009E64D0"/>
    <w:rsid w:val="009F66E5"/>
    <w:rsid w:val="009F6EBE"/>
    <w:rsid w:val="009F6EE5"/>
    <w:rsid w:val="00A000B3"/>
    <w:rsid w:val="00A213E9"/>
    <w:rsid w:val="00A26256"/>
    <w:rsid w:val="00A27DE9"/>
    <w:rsid w:val="00A54C1C"/>
    <w:rsid w:val="00A575E1"/>
    <w:rsid w:val="00A644C8"/>
    <w:rsid w:val="00A728A8"/>
    <w:rsid w:val="00A81474"/>
    <w:rsid w:val="00A83804"/>
    <w:rsid w:val="00A871EB"/>
    <w:rsid w:val="00A91560"/>
    <w:rsid w:val="00A972F9"/>
    <w:rsid w:val="00AA1174"/>
    <w:rsid w:val="00AA6C03"/>
    <w:rsid w:val="00AB40D4"/>
    <w:rsid w:val="00AB43A4"/>
    <w:rsid w:val="00AC1B38"/>
    <w:rsid w:val="00AE1872"/>
    <w:rsid w:val="00AE5455"/>
    <w:rsid w:val="00AF581F"/>
    <w:rsid w:val="00B01AB1"/>
    <w:rsid w:val="00B13BC6"/>
    <w:rsid w:val="00B17431"/>
    <w:rsid w:val="00B22A39"/>
    <w:rsid w:val="00B25487"/>
    <w:rsid w:val="00B2747C"/>
    <w:rsid w:val="00B30880"/>
    <w:rsid w:val="00B4631F"/>
    <w:rsid w:val="00B51979"/>
    <w:rsid w:val="00B65287"/>
    <w:rsid w:val="00B72B81"/>
    <w:rsid w:val="00B90D64"/>
    <w:rsid w:val="00B92FA5"/>
    <w:rsid w:val="00BA18D2"/>
    <w:rsid w:val="00BA3D47"/>
    <w:rsid w:val="00BA7A01"/>
    <w:rsid w:val="00BB0EED"/>
    <w:rsid w:val="00BB13E7"/>
    <w:rsid w:val="00BB2DBF"/>
    <w:rsid w:val="00BC3356"/>
    <w:rsid w:val="00BC5042"/>
    <w:rsid w:val="00BD27AD"/>
    <w:rsid w:val="00BE1D93"/>
    <w:rsid w:val="00BF277A"/>
    <w:rsid w:val="00BF7010"/>
    <w:rsid w:val="00BF7131"/>
    <w:rsid w:val="00BF7398"/>
    <w:rsid w:val="00C00382"/>
    <w:rsid w:val="00C07992"/>
    <w:rsid w:val="00C1011A"/>
    <w:rsid w:val="00C17160"/>
    <w:rsid w:val="00C23BFF"/>
    <w:rsid w:val="00C41A44"/>
    <w:rsid w:val="00C41B9E"/>
    <w:rsid w:val="00C509CC"/>
    <w:rsid w:val="00C5140C"/>
    <w:rsid w:val="00C56D69"/>
    <w:rsid w:val="00C60014"/>
    <w:rsid w:val="00C70265"/>
    <w:rsid w:val="00C8142A"/>
    <w:rsid w:val="00C82E90"/>
    <w:rsid w:val="00C86A65"/>
    <w:rsid w:val="00C958A9"/>
    <w:rsid w:val="00CA2531"/>
    <w:rsid w:val="00CA5497"/>
    <w:rsid w:val="00CA674F"/>
    <w:rsid w:val="00CA7238"/>
    <w:rsid w:val="00CC44BA"/>
    <w:rsid w:val="00CD02B9"/>
    <w:rsid w:val="00CD3C0B"/>
    <w:rsid w:val="00CD70B8"/>
    <w:rsid w:val="00CE039D"/>
    <w:rsid w:val="00CE646E"/>
    <w:rsid w:val="00CF30E3"/>
    <w:rsid w:val="00D11BAB"/>
    <w:rsid w:val="00D12CAC"/>
    <w:rsid w:val="00D2157E"/>
    <w:rsid w:val="00D27000"/>
    <w:rsid w:val="00D27F8B"/>
    <w:rsid w:val="00D37B9D"/>
    <w:rsid w:val="00D41E9D"/>
    <w:rsid w:val="00D45704"/>
    <w:rsid w:val="00D52AFC"/>
    <w:rsid w:val="00D5398A"/>
    <w:rsid w:val="00D603AA"/>
    <w:rsid w:val="00D70FAF"/>
    <w:rsid w:val="00D83FB8"/>
    <w:rsid w:val="00D932EF"/>
    <w:rsid w:val="00D94F5F"/>
    <w:rsid w:val="00DA77D8"/>
    <w:rsid w:val="00DB6E6B"/>
    <w:rsid w:val="00DC2A43"/>
    <w:rsid w:val="00DC3C2E"/>
    <w:rsid w:val="00DC6A69"/>
    <w:rsid w:val="00DD2BA4"/>
    <w:rsid w:val="00DE22A5"/>
    <w:rsid w:val="00DE3D6D"/>
    <w:rsid w:val="00DF00C2"/>
    <w:rsid w:val="00DF515B"/>
    <w:rsid w:val="00DF669F"/>
    <w:rsid w:val="00E04801"/>
    <w:rsid w:val="00E07AAC"/>
    <w:rsid w:val="00E21914"/>
    <w:rsid w:val="00E2219D"/>
    <w:rsid w:val="00E27A26"/>
    <w:rsid w:val="00E40AED"/>
    <w:rsid w:val="00E533AF"/>
    <w:rsid w:val="00E56C50"/>
    <w:rsid w:val="00E57416"/>
    <w:rsid w:val="00E63DD1"/>
    <w:rsid w:val="00E81605"/>
    <w:rsid w:val="00EA1955"/>
    <w:rsid w:val="00EA1D94"/>
    <w:rsid w:val="00EA43A7"/>
    <w:rsid w:val="00EB6B7C"/>
    <w:rsid w:val="00EB74F3"/>
    <w:rsid w:val="00EB75F8"/>
    <w:rsid w:val="00EC1D92"/>
    <w:rsid w:val="00ED3B12"/>
    <w:rsid w:val="00EE3301"/>
    <w:rsid w:val="00EE335D"/>
    <w:rsid w:val="00EE69CE"/>
    <w:rsid w:val="00EF242F"/>
    <w:rsid w:val="00EF5081"/>
    <w:rsid w:val="00F01133"/>
    <w:rsid w:val="00F24107"/>
    <w:rsid w:val="00F246F8"/>
    <w:rsid w:val="00F248B7"/>
    <w:rsid w:val="00F25D25"/>
    <w:rsid w:val="00F40764"/>
    <w:rsid w:val="00F462E2"/>
    <w:rsid w:val="00F47245"/>
    <w:rsid w:val="00F54D88"/>
    <w:rsid w:val="00F57C65"/>
    <w:rsid w:val="00F611D1"/>
    <w:rsid w:val="00F63822"/>
    <w:rsid w:val="00F7052A"/>
    <w:rsid w:val="00F70B37"/>
    <w:rsid w:val="00F76888"/>
    <w:rsid w:val="00F859A2"/>
    <w:rsid w:val="00F879FC"/>
    <w:rsid w:val="00FB1657"/>
    <w:rsid w:val="00FC05BA"/>
    <w:rsid w:val="00FC57E8"/>
    <w:rsid w:val="00FC65F5"/>
    <w:rsid w:val="00FD1E57"/>
    <w:rsid w:val="00FE6982"/>
    <w:rsid w:val="00FF0D45"/>
    <w:rsid w:val="00FF29B7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  <w14:docId w14:val="655CE4DE"/>
  <w15:docId w15:val="{74C178D3-8758-4674-9CD8-88389AF7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pPr>
      <w:numPr>
        <w:numId w:val="1"/>
      </w:numPr>
    </w:pPr>
  </w:style>
  <w:style w:type="paragraph" w:customStyle="1" w:styleId="Bullet1">
    <w:name w:val="Bullet 1"/>
    <w:basedOn w:val="Normal"/>
    <w:pPr>
      <w:numPr>
        <w:numId w:val="2"/>
      </w:numPr>
    </w:pPr>
  </w:style>
  <w:style w:type="paragraph" w:customStyle="1" w:styleId="Bullet2">
    <w:name w:val="Bullet 2"/>
    <w:basedOn w:val="Normal"/>
    <w:pPr>
      <w:numPr>
        <w:numId w:val="3"/>
      </w:numPr>
    </w:pPr>
  </w:style>
  <w:style w:type="paragraph" w:customStyle="1" w:styleId="Bullet3">
    <w:name w:val="Bullet 3"/>
    <w:basedOn w:val="Normal"/>
    <w:pPr>
      <w:numPr>
        <w:numId w:val="4"/>
      </w:numPr>
    </w:pPr>
  </w:style>
  <w:style w:type="paragraph" w:customStyle="1" w:styleId="Bullet4">
    <w:name w:val="Bullet 4"/>
    <w:basedOn w:val="Normal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aliases w:val="Footnote symbol,Footnote reference number,note TESI,BVI fnr,Appel note de bas de p,Nota,Footnote,Odwołanie przypisu,Footnotes refss,SUPERS,Footnote Reference Superscript,Ref,de nota al pie,-E Fußnotenzeichen,Times 10 Point,E,stylish"/>
    <w:uiPriority w:val="99"/>
    <w:qFormat/>
    <w:rPr>
      <w:shd w:val="clear" w:color="auto" w:fill="auto"/>
      <w:vertAlign w:val="superscript"/>
    </w:rPr>
  </w:style>
  <w:style w:type="paragraph" w:styleId="FootnoteText">
    <w:name w:val="footnote text"/>
    <w:aliases w:val="Footnote text,Testo nota a piè di pagina_Rientro,stile 1,Footnote1,Footnote2,Footnote3,Footnote4,Footnote5,Footnote6,Footnote7,Footnote8,Footnote9,Footnote10,Footnote11,Footnote21,Footnote31,Footnote41,Footnote51,ft,Reference,footnote,fn,o"/>
    <w:basedOn w:val="Normal"/>
    <w:link w:val="FootnoteTextChar"/>
    <w:qFormat/>
    <w:pPr>
      <w:spacing w:before="0" w:after="0"/>
      <w:ind w:left="720" w:hanging="720"/>
    </w:pPr>
    <w:rPr>
      <w:sz w:val="20"/>
      <w:szCs w:val="20"/>
    </w:r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styleId="Header">
    <w:name w:val="header"/>
    <w:basedOn w:val="Normal"/>
    <w:pPr>
      <w:tabs>
        <w:tab w:val="center" w:pos="4535"/>
        <w:tab w:val="righ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pPr>
      <w:ind w:left="850" w:hanging="850"/>
    </w:pPr>
  </w:style>
  <w:style w:type="paragraph" w:customStyle="1" w:styleId="ManualNumPar2">
    <w:name w:val="Manual NumPar 2"/>
    <w:basedOn w:val="Normal"/>
    <w:next w:val="Normal"/>
    <w:pPr>
      <w:ind w:left="850" w:hanging="850"/>
    </w:pPr>
  </w:style>
  <w:style w:type="paragraph" w:customStyle="1" w:styleId="ManualNumPar3">
    <w:name w:val="Manual NumPar 3"/>
    <w:basedOn w:val="Normal"/>
    <w:next w:val="Normal"/>
    <w:pPr>
      <w:ind w:left="850" w:hanging="850"/>
    </w:pPr>
  </w:style>
  <w:style w:type="paragraph" w:customStyle="1" w:styleId="ManualNumPar4">
    <w:name w:val="Manual NumPar 4"/>
    <w:basedOn w:val="Normal"/>
    <w:next w:val="Normal"/>
    <w:pPr>
      <w:ind w:left="850" w:hanging="850"/>
    </w:p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Normal"/>
    <w:pPr>
      <w:numPr>
        <w:numId w:val="8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0letter">
    <w:name w:val="Point 0 (letter)"/>
    <w:basedOn w:val="Normal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pPr>
      <w:numPr>
        <w:numId w:val="9"/>
      </w:numPr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1letter">
    <w:name w:val="Point 1 (letter)"/>
    <w:basedOn w:val="Normal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pPr>
      <w:numPr>
        <w:ilvl w:val="2"/>
        <w:numId w:val="9"/>
      </w:numPr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2letter">
    <w:name w:val="Point 2 (letter)"/>
    <w:basedOn w:val="Normal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pPr>
      <w:numPr>
        <w:ilvl w:val="4"/>
        <w:numId w:val="9"/>
      </w:numPr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3letter">
    <w:name w:val="Point 3 (letter)"/>
    <w:basedOn w:val="Normal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pPr>
      <w:numPr>
        <w:ilvl w:val="6"/>
        <w:numId w:val="9"/>
      </w:numPr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4letter">
    <w:name w:val="Point 4 (letter)"/>
    <w:basedOn w:val="Normal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qFormat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styleId="ListBullet">
    <w:name w:val="List Bullet"/>
    <w:basedOn w:val="Normal"/>
    <w:pPr>
      <w:numPr>
        <w:numId w:val="28"/>
      </w:numPr>
    </w:pPr>
    <w:rPr>
      <w:lang w:eastAsia="de-DE"/>
    </w:rPr>
  </w:style>
  <w:style w:type="paragraph" w:styleId="ListBullet2">
    <w:name w:val="List Bullet 2"/>
    <w:basedOn w:val="Normal"/>
    <w:pPr>
      <w:numPr>
        <w:numId w:val="16"/>
      </w:numPr>
    </w:pPr>
    <w:rPr>
      <w:lang w:eastAsia="de-DE"/>
    </w:rPr>
  </w:style>
  <w:style w:type="paragraph" w:styleId="ListBullet3">
    <w:name w:val="List Bullet 3"/>
    <w:basedOn w:val="Normal"/>
    <w:pPr>
      <w:numPr>
        <w:numId w:val="17"/>
      </w:numPr>
    </w:pPr>
    <w:rPr>
      <w:lang w:eastAsia="de-DE"/>
    </w:rPr>
  </w:style>
  <w:style w:type="paragraph" w:styleId="ListBullet4">
    <w:name w:val="List Bullet 4"/>
    <w:basedOn w:val="Normal"/>
    <w:pPr>
      <w:numPr>
        <w:numId w:val="18"/>
      </w:numPr>
    </w:pPr>
    <w:rPr>
      <w:lang w:eastAsia="de-DE"/>
    </w:rPr>
  </w:style>
  <w:style w:type="paragraph" w:styleId="ListNumber">
    <w:name w:val="List Number"/>
    <w:basedOn w:val="Normal"/>
    <w:pPr>
      <w:tabs>
        <w:tab w:val="num" w:pos="850"/>
      </w:tabs>
      <w:ind w:left="850" w:hanging="850"/>
    </w:pPr>
    <w:rPr>
      <w:lang w:eastAsia="de-DE"/>
    </w:rPr>
  </w:style>
  <w:style w:type="paragraph" w:styleId="ListNumber2">
    <w:name w:val="List Number 2"/>
    <w:basedOn w:val="Normal"/>
    <w:pPr>
      <w:numPr>
        <w:numId w:val="25"/>
      </w:numPr>
    </w:pPr>
    <w:rPr>
      <w:lang w:eastAsia="de-DE"/>
    </w:rPr>
  </w:style>
  <w:style w:type="paragraph" w:styleId="ListNumber3">
    <w:name w:val="List Number 3"/>
    <w:basedOn w:val="Normal"/>
    <w:pPr>
      <w:numPr>
        <w:numId w:val="26"/>
      </w:numPr>
    </w:pPr>
    <w:rPr>
      <w:lang w:eastAsia="de-DE"/>
    </w:rPr>
  </w:style>
  <w:style w:type="paragraph" w:styleId="ListNumber4">
    <w:name w:val="List Number 4"/>
    <w:basedOn w:val="Normal"/>
    <w:pPr>
      <w:numPr>
        <w:numId w:val="27"/>
      </w:numPr>
    </w:pPr>
    <w:rPr>
      <w:lang w:eastAsia="de-DE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lang w:eastAsia="de-DE"/>
    </w:rPr>
  </w:style>
  <w:style w:type="paragraph" w:customStyle="1" w:styleId="ListDash">
    <w:name w:val="List Dash"/>
    <w:basedOn w:val="Normal"/>
    <w:pPr>
      <w:numPr>
        <w:numId w:val="19"/>
      </w:numPr>
    </w:pPr>
    <w:rPr>
      <w:lang w:eastAsia="de-DE"/>
    </w:rPr>
  </w:style>
  <w:style w:type="paragraph" w:customStyle="1" w:styleId="ListDash1">
    <w:name w:val="List Dash 1"/>
    <w:basedOn w:val="Normal"/>
    <w:pPr>
      <w:numPr>
        <w:numId w:val="20"/>
      </w:numPr>
    </w:pPr>
    <w:rPr>
      <w:lang w:eastAsia="de-DE"/>
    </w:rPr>
  </w:style>
  <w:style w:type="paragraph" w:customStyle="1" w:styleId="ListDash2">
    <w:name w:val="List Dash 2"/>
    <w:basedOn w:val="Normal"/>
    <w:pPr>
      <w:numPr>
        <w:numId w:val="21"/>
      </w:numPr>
    </w:pPr>
    <w:rPr>
      <w:lang w:eastAsia="de-DE"/>
    </w:rPr>
  </w:style>
  <w:style w:type="paragraph" w:customStyle="1" w:styleId="ListDash3">
    <w:name w:val="List Dash 3"/>
    <w:basedOn w:val="Normal"/>
    <w:pPr>
      <w:numPr>
        <w:numId w:val="22"/>
      </w:numPr>
    </w:pPr>
    <w:rPr>
      <w:lang w:eastAsia="de-DE"/>
    </w:rPr>
  </w:style>
  <w:style w:type="paragraph" w:customStyle="1" w:styleId="ListDash4">
    <w:name w:val="List Dash 4"/>
    <w:basedOn w:val="Normal"/>
    <w:pPr>
      <w:numPr>
        <w:numId w:val="23"/>
      </w:numPr>
    </w:pPr>
    <w:rPr>
      <w:lang w:eastAsia="de-DE"/>
    </w:rPr>
  </w:style>
  <w:style w:type="paragraph" w:customStyle="1" w:styleId="ListNumber1">
    <w:name w:val="List Number 1"/>
    <w:basedOn w:val="Text1"/>
    <w:pPr>
      <w:numPr>
        <w:numId w:val="24"/>
      </w:numPr>
    </w:pPr>
    <w:rPr>
      <w:lang w:eastAsia="de-DE"/>
    </w:rPr>
  </w:style>
  <w:style w:type="paragraph" w:customStyle="1" w:styleId="ListNumberLevel2">
    <w:name w:val="List Number (Level 2)"/>
    <w:basedOn w:val="Normal"/>
    <w:pPr>
      <w:tabs>
        <w:tab w:val="num" w:pos="850"/>
        <w:tab w:val="num" w:pos="1417"/>
      </w:tabs>
      <w:ind w:left="1417" w:hanging="708"/>
    </w:pPr>
    <w:rPr>
      <w:lang w:eastAsia="de-DE"/>
    </w:rPr>
  </w:style>
  <w:style w:type="paragraph" w:customStyle="1" w:styleId="ListNumber1Level2">
    <w:name w:val="List Number 1 (Level 2)"/>
    <w:basedOn w:val="Text1"/>
    <w:pPr>
      <w:numPr>
        <w:ilvl w:val="1"/>
        <w:numId w:val="24"/>
      </w:numPr>
    </w:pPr>
    <w:rPr>
      <w:lang w:eastAsia="de-DE"/>
    </w:rPr>
  </w:style>
  <w:style w:type="paragraph" w:customStyle="1" w:styleId="ListNumber2Level2">
    <w:name w:val="List Number 2 (Level 2)"/>
    <w:basedOn w:val="Text2"/>
    <w:pPr>
      <w:numPr>
        <w:ilvl w:val="1"/>
        <w:numId w:val="25"/>
      </w:numPr>
    </w:pPr>
    <w:rPr>
      <w:lang w:eastAsia="de-DE"/>
    </w:rPr>
  </w:style>
  <w:style w:type="paragraph" w:customStyle="1" w:styleId="ListNumber3Level2">
    <w:name w:val="List Number 3 (Level 2)"/>
    <w:basedOn w:val="Text3"/>
    <w:pPr>
      <w:numPr>
        <w:ilvl w:val="1"/>
        <w:numId w:val="26"/>
      </w:numPr>
      <w:tabs>
        <w:tab w:val="clear" w:pos="2268"/>
      </w:tabs>
      <w:ind w:left="1984" w:firstLine="0"/>
    </w:pPr>
  </w:style>
  <w:style w:type="paragraph" w:customStyle="1" w:styleId="ListNumber4Level2">
    <w:name w:val="List Number 4 (Level 2)"/>
    <w:basedOn w:val="Text4"/>
    <w:pPr>
      <w:numPr>
        <w:ilvl w:val="1"/>
        <w:numId w:val="27"/>
      </w:numPr>
    </w:pPr>
    <w:rPr>
      <w:lang w:eastAsia="de-DE"/>
    </w:rPr>
  </w:style>
  <w:style w:type="paragraph" w:customStyle="1" w:styleId="ListNumberLevel3">
    <w:name w:val="List Number (Level 3)"/>
    <w:basedOn w:val="Normal"/>
    <w:pPr>
      <w:tabs>
        <w:tab w:val="num" w:pos="1417"/>
        <w:tab w:val="num" w:pos="2126"/>
      </w:tabs>
      <w:ind w:left="2126" w:hanging="567"/>
    </w:pPr>
    <w:rPr>
      <w:lang w:eastAsia="de-DE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lang w:eastAsia="de-DE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lang w:eastAsia="de-DE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  <w:tabs>
        <w:tab w:val="clear" w:pos="2977"/>
      </w:tabs>
      <w:ind w:left="1984" w:firstLine="0"/>
    </w:p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lang w:eastAsia="de-DE"/>
    </w:rPr>
  </w:style>
  <w:style w:type="paragraph" w:customStyle="1" w:styleId="ListNumberLevel4">
    <w:name w:val="List Number (Level 4)"/>
    <w:basedOn w:val="Normal"/>
    <w:pPr>
      <w:tabs>
        <w:tab w:val="num" w:pos="1417"/>
        <w:tab w:val="num" w:pos="2835"/>
      </w:tabs>
      <w:ind w:left="2835" w:hanging="567"/>
    </w:pPr>
    <w:rPr>
      <w:lang w:eastAsia="de-DE"/>
    </w:rPr>
  </w:style>
  <w:style w:type="paragraph" w:customStyle="1" w:styleId="ListNumber1Level4">
    <w:name w:val="List Number 1 (Level 4)"/>
    <w:basedOn w:val="Text1"/>
    <w:pPr>
      <w:numPr>
        <w:ilvl w:val="3"/>
        <w:numId w:val="24"/>
      </w:numPr>
    </w:pPr>
    <w:rPr>
      <w:lang w:eastAsia="de-DE"/>
    </w:rPr>
  </w:style>
  <w:style w:type="paragraph" w:customStyle="1" w:styleId="ListNumber2Level4">
    <w:name w:val="List Number 2 (Level 4)"/>
    <w:basedOn w:val="Text2"/>
    <w:pPr>
      <w:numPr>
        <w:ilvl w:val="3"/>
        <w:numId w:val="25"/>
      </w:numPr>
    </w:pPr>
    <w:rPr>
      <w:lang w:eastAsia="de-DE"/>
    </w:rPr>
  </w:style>
  <w:style w:type="paragraph" w:customStyle="1" w:styleId="ListNumber3Level4">
    <w:name w:val="List Number 3 (Level 4)"/>
    <w:basedOn w:val="Text3"/>
    <w:pPr>
      <w:numPr>
        <w:ilvl w:val="3"/>
        <w:numId w:val="26"/>
      </w:numPr>
      <w:tabs>
        <w:tab w:val="clear" w:pos="3686"/>
      </w:tabs>
      <w:ind w:left="1984" w:firstLine="0"/>
    </w:pPr>
  </w:style>
  <w:style w:type="paragraph" w:customStyle="1" w:styleId="ListNumber4Level4">
    <w:name w:val="List Number 4 (Level 4)"/>
    <w:basedOn w:val="Text4"/>
    <w:pPr>
      <w:numPr>
        <w:ilvl w:val="3"/>
        <w:numId w:val="27"/>
      </w:numPr>
    </w:pPr>
    <w:rPr>
      <w:lang w:eastAsia="de-DE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caps/>
      <w:lang w:eastAsia="de-DE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lang w:eastAsia="de-DE"/>
    </w:rPr>
  </w:style>
  <w:style w:type="paragraph" w:customStyle="1" w:styleId="Prliminairetype">
    <w:name w:val="Préliminaire type"/>
    <w:basedOn w:val="Normal"/>
    <w:next w:val="Normal"/>
    <w:link w:val="PrliminairetypeChar"/>
    <w:pPr>
      <w:spacing w:before="360" w:after="0"/>
      <w:jc w:val="center"/>
    </w:pPr>
    <w:rPr>
      <w:b/>
      <w:lang w:eastAsia="de-DE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lang w:eastAsia="de-DE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lang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lang w:eastAsia="de-DE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  <w:lang w:eastAsia="de-DE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lang w:eastAsia="de-DE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  <w:lang w:eastAsia="de-DE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  <w:lang w:eastAsia="de-DE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b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b/>
      <w:u w:val="single"/>
      <w:lang w:eastAsia="de-DE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  <w:lang w:eastAsia="de-D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shd w:val="clear" w:color="auto" w:fill="auto"/>
      <w:lang w:eastAsia="de-DE"/>
    </w:rPr>
  </w:style>
  <w:style w:type="paragraph" w:customStyle="1" w:styleId="SubTitle2">
    <w:name w:val="SubTitle 2"/>
    <w:basedOn w:val="Normal"/>
    <w:pPr>
      <w:spacing w:before="0" w:after="240"/>
      <w:jc w:val="center"/>
    </w:pPr>
    <w:rPr>
      <w:b/>
      <w:sz w:val="32"/>
      <w:szCs w:val="20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  <w:lang w:eastAsia="de-DE"/>
    </w:rPr>
  </w:style>
  <w:style w:type="character" w:customStyle="1" w:styleId="CommentTextChar">
    <w:name w:val="Comment Text Char"/>
    <w:link w:val="CommentText"/>
    <w:uiPriority w:val="99"/>
    <w:rPr>
      <w:shd w:val="clear" w:color="auto" w:fill="auto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shd w:val="clear" w:color="auto" w:fill="auto"/>
      <w:lang w:eastAsia="de-DE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FootnoteTextChar">
    <w:name w:val="Footnote Text Char"/>
    <w:aliases w:val="Footnote text Char,Testo nota a piè di pagina_Rientro Char,stile 1 Char,Footnote1 Char,Footnote2 Char,Footnote3 Char,Footnote4 Char,Footnote5 Char,Footnote6 Char,Footnote7 Char,Footnote8 Char,Footnote9 Char,Footnote10 Char,ft Char"/>
    <w:link w:val="FootnoteText"/>
    <w:qFormat/>
    <w:rPr>
      <w:lang w:eastAsia="en-US"/>
    </w:rPr>
  </w:style>
  <w:style w:type="character" w:customStyle="1" w:styleId="En-tte22">
    <w:name w:val="En-tête #2 (2)_"/>
    <w:link w:val="En-tte220"/>
    <w:rPr>
      <w:sz w:val="23"/>
      <w:szCs w:val="23"/>
      <w:shd w:val="clear" w:color="auto" w:fill="FFFFFF"/>
    </w:rPr>
  </w:style>
  <w:style w:type="paragraph" w:customStyle="1" w:styleId="En-tte220">
    <w:name w:val="En-tête #2 (2)"/>
    <w:basedOn w:val="Normal"/>
    <w:link w:val="En-tte22"/>
    <w:pPr>
      <w:widowControl w:val="0"/>
      <w:shd w:val="clear" w:color="auto" w:fill="FFFFFF"/>
      <w:spacing w:before="1080" w:after="180" w:line="0" w:lineRule="atLeast"/>
      <w:ind w:hanging="860"/>
      <w:outlineLvl w:val="1"/>
    </w:pPr>
    <w:rPr>
      <w:sz w:val="23"/>
      <w:szCs w:val="23"/>
      <w:lang w:eastAsia="en-GB"/>
    </w:rPr>
  </w:style>
  <w:style w:type="character" w:customStyle="1" w:styleId="En-tte22NonPetitesmajuscules">
    <w:name w:val="En-tête #2 (2) + Non Petites majuscules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l"/>
    </w:rPr>
  </w:style>
  <w:style w:type="character" w:customStyle="1" w:styleId="Corpsdutexte">
    <w:name w:val="Corps du texte_"/>
    <w:link w:val="Corpsdutexte0"/>
    <w:rPr>
      <w:sz w:val="23"/>
      <w:szCs w:val="23"/>
      <w:shd w:val="clear" w:color="auto" w:fill="FFFFFF"/>
    </w:rPr>
  </w:style>
  <w:style w:type="paragraph" w:customStyle="1" w:styleId="Corpsdutexte0">
    <w:name w:val="Corps du texte"/>
    <w:basedOn w:val="Normal"/>
    <w:link w:val="Corpsdutexte"/>
    <w:pPr>
      <w:widowControl w:val="0"/>
      <w:shd w:val="clear" w:color="auto" w:fill="FFFFFF"/>
      <w:spacing w:before="180" w:after="180" w:line="283" w:lineRule="exact"/>
      <w:ind w:hanging="860"/>
    </w:pPr>
    <w:rPr>
      <w:sz w:val="23"/>
      <w:szCs w:val="23"/>
      <w:lang w:eastAsia="en-GB"/>
    </w:rPr>
  </w:style>
  <w:style w:type="character" w:customStyle="1" w:styleId="En-tte2">
    <w:name w:val="En-tête #2_"/>
    <w:link w:val="En-tte20"/>
    <w:rPr>
      <w:sz w:val="23"/>
      <w:szCs w:val="23"/>
      <w:shd w:val="clear" w:color="auto" w:fill="FFFFFF"/>
    </w:rPr>
  </w:style>
  <w:style w:type="paragraph" w:customStyle="1" w:styleId="En-tte20">
    <w:name w:val="En-tête #2"/>
    <w:basedOn w:val="Normal"/>
    <w:link w:val="En-tte2"/>
    <w:pPr>
      <w:widowControl w:val="0"/>
      <w:shd w:val="clear" w:color="auto" w:fill="FFFFFF"/>
      <w:spacing w:before="0" w:after="300" w:line="0" w:lineRule="atLeast"/>
      <w:outlineLvl w:val="1"/>
    </w:pPr>
    <w:rPr>
      <w:sz w:val="23"/>
      <w:szCs w:val="23"/>
      <w:lang w:eastAsia="en-GB"/>
    </w:rPr>
  </w:style>
  <w:style w:type="character" w:customStyle="1" w:styleId="Notedebasdepage">
    <w:name w:val="Note de bas de page_"/>
    <w:link w:val="Notedebasdepage0"/>
    <w:rPr>
      <w:sz w:val="19"/>
      <w:szCs w:val="19"/>
      <w:shd w:val="clear" w:color="auto" w:fill="FFFFFF"/>
    </w:rPr>
  </w:style>
  <w:style w:type="paragraph" w:customStyle="1" w:styleId="Notedebasdepage0">
    <w:name w:val="Note de bas de page"/>
    <w:basedOn w:val="Normal"/>
    <w:link w:val="Notedebasdepage"/>
    <w:pPr>
      <w:widowControl w:val="0"/>
      <w:shd w:val="clear" w:color="auto" w:fill="FFFFFF"/>
      <w:spacing w:before="0" w:after="0" w:line="0" w:lineRule="atLeast"/>
      <w:ind w:hanging="360"/>
      <w:jc w:val="left"/>
    </w:pPr>
    <w:rPr>
      <w:sz w:val="19"/>
      <w:szCs w:val="19"/>
      <w:lang w:eastAsia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PrliminairetypeChar">
    <w:name w:val="Préliminaire type Char"/>
    <w:link w:val="Prliminairetype"/>
    <w:rPr>
      <w:b/>
      <w:sz w:val="24"/>
      <w:szCs w:val="24"/>
      <w:shd w:val="clear" w:color="auto" w:fill="auto"/>
      <w:lang w:eastAsia="de-DE"/>
    </w:rPr>
  </w:style>
  <w:style w:type="character" w:customStyle="1" w:styleId="FooterCoverPageChar">
    <w:name w:val="Footer Cover Page Char"/>
    <w:link w:val="FooterCoverPage"/>
    <w:rPr>
      <w:sz w:val="24"/>
      <w:szCs w:val="24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link w:val="HeaderCoverPage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character" w:customStyle="1" w:styleId="infobubble-top">
    <w:name w:val="infobubble-top"/>
  </w:style>
  <w:style w:type="paragraph" w:styleId="Date">
    <w:name w:val="Date"/>
    <w:basedOn w:val="Normal"/>
    <w:next w:val="References"/>
    <w:link w:val="DateChar"/>
    <w:uiPriority w:val="99"/>
    <w:rsid w:val="00DB6E6B"/>
    <w:pPr>
      <w:spacing w:before="0" w:after="0"/>
      <w:ind w:left="5103" w:right="-567"/>
      <w:jc w:val="left"/>
    </w:pPr>
    <w:rPr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DB6E6B"/>
    <w:rPr>
      <w:sz w:val="24"/>
      <w:lang w:eastAsia="en-US"/>
    </w:rPr>
  </w:style>
  <w:style w:type="paragraph" w:customStyle="1" w:styleId="References">
    <w:name w:val="References"/>
    <w:basedOn w:val="Normal"/>
    <w:next w:val="Normal"/>
    <w:uiPriority w:val="99"/>
    <w:rsid w:val="00DB6E6B"/>
    <w:pPr>
      <w:spacing w:before="0" w:after="240"/>
      <w:ind w:left="5103"/>
      <w:jc w:val="left"/>
    </w:pPr>
    <w:rPr>
      <w:sz w:val="20"/>
      <w:szCs w:val="20"/>
    </w:rPr>
  </w:style>
  <w:style w:type="paragraph" w:customStyle="1" w:styleId="ZCom">
    <w:name w:val="Z_Com"/>
    <w:basedOn w:val="Normal"/>
    <w:next w:val="ZDGName"/>
    <w:link w:val="ZComChar"/>
    <w:uiPriority w:val="2"/>
    <w:rsid w:val="00DB6E6B"/>
    <w:pPr>
      <w:widowControl w:val="0"/>
      <w:autoSpaceDE w:val="0"/>
      <w:autoSpaceDN w:val="0"/>
      <w:spacing w:before="0"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uiPriority w:val="2"/>
    <w:rsid w:val="00DB6E6B"/>
    <w:pPr>
      <w:widowControl w:val="0"/>
      <w:autoSpaceDE w:val="0"/>
      <w:autoSpaceDN w:val="0"/>
      <w:spacing w:before="0"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EB74F3"/>
    <w:rPr>
      <w:sz w:val="24"/>
      <w:szCs w:val="24"/>
      <w:lang w:eastAsia="en-US"/>
    </w:rPr>
  </w:style>
  <w:style w:type="paragraph" w:customStyle="1" w:styleId="FooterSensitivity">
    <w:name w:val="Footer Sensitivity"/>
    <w:basedOn w:val="Normal"/>
    <w:link w:val="FooterSensitivityChar"/>
    <w:rsid w:val="00DC2A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ZComChar">
    <w:name w:val="Z_Com Char"/>
    <w:basedOn w:val="DefaultParagraphFont"/>
    <w:link w:val="ZCom"/>
    <w:uiPriority w:val="2"/>
    <w:rsid w:val="00DC2A43"/>
    <w:rPr>
      <w:rFonts w:ascii="Arial" w:hAnsi="Arial" w:cs="Arial"/>
      <w:sz w:val="24"/>
      <w:szCs w:val="24"/>
    </w:rPr>
  </w:style>
  <w:style w:type="character" w:customStyle="1" w:styleId="FooterSensitivityChar">
    <w:name w:val="Footer Sensitivity Char"/>
    <w:basedOn w:val="ZComChar"/>
    <w:link w:val="FooterSensitivity"/>
    <w:rsid w:val="00DC2A43"/>
    <w:rPr>
      <w:rFonts w:ascii="Arial" w:hAnsi="Arial" w:cs="Arial"/>
      <w:b/>
      <w:sz w:val="32"/>
      <w:szCs w:val="24"/>
      <w:lang w:eastAsia="en-US"/>
    </w:rPr>
  </w:style>
  <w:style w:type="paragraph" w:customStyle="1" w:styleId="HeaderSensitivity">
    <w:name w:val="Header Sensitivity"/>
    <w:basedOn w:val="Normal"/>
    <w:link w:val="HeaderSensitivityChar"/>
    <w:rsid w:val="00DC2A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ZComChar"/>
    <w:link w:val="HeaderSensitivity"/>
    <w:rsid w:val="00DC2A43"/>
    <w:rPr>
      <w:rFonts w:ascii="Arial" w:hAnsi="Arial" w:cs="Arial"/>
      <w:b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2A4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F0855"/>
    <w:rPr>
      <w:color w:val="954F72" w:themeColor="followedHyperlink"/>
      <w:u w:val="single"/>
    </w:rPr>
  </w:style>
  <w:style w:type="paragraph" w:customStyle="1" w:styleId="ZFlag">
    <w:name w:val="Z_Flag"/>
    <w:basedOn w:val="Normal"/>
    <w:next w:val="Normal"/>
    <w:uiPriority w:val="2"/>
    <w:rsid w:val="00812D6D"/>
    <w:pPr>
      <w:widowControl w:val="0"/>
      <w:spacing w:before="0" w:after="0"/>
      <w:ind w:right="85"/>
    </w:pPr>
    <w:rPr>
      <w:szCs w:val="20"/>
      <w:lang w:eastAsia="en-GB"/>
    </w:rPr>
  </w:style>
  <w:style w:type="table" w:customStyle="1" w:styleId="TableLetterhead">
    <w:name w:val="Table Letterhead"/>
    <w:basedOn w:val="TableNormal"/>
    <w:semiHidden/>
    <w:rsid w:val="00812D6D"/>
    <w:rPr>
      <w:sz w:val="24"/>
    </w:rPr>
    <w:tblPr>
      <w:tblCellMar>
        <w:left w:w="0" w:type="dxa"/>
        <w:bottom w:w="34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2839"/>
    <w:pPr>
      <w:spacing w:before="100" w:beforeAutospacing="1" w:after="100" w:afterAutospacing="1"/>
      <w:jc w:val="left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41BE"/>
    <w:rPr>
      <w:color w:val="605E5C"/>
      <w:shd w:val="clear" w:color="auto" w:fill="E1DFDD"/>
    </w:rPr>
  </w:style>
  <w:style w:type="paragraph" w:customStyle="1" w:styleId="Default">
    <w:name w:val="Default"/>
    <w:rsid w:val="00FB1657"/>
    <w:pPr>
      <w:autoSpaceDE w:val="0"/>
      <w:autoSpaceDN w:val="0"/>
      <w:adjustRightInd w:val="0"/>
    </w:pPr>
    <w:rPr>
      <w:color w:val="000000"/>
      <w:sz w:val="24"/>
      <w:szCs w:val="24"/>
      <w:lang w:val="en-IE"/>
    </w:rPr>
  </w:style>
  <w:style w:type="paragraph" w:customStyle="1" w:styleId="SecurityMarking">
    <w:name w:val="SecurityMarking"/>
    <w:basedOn w:val="Normal"/>
    <w:rsid w:val="00DC3C2E"/>
    <w:pPr>
      <w:spacing w:before="0" w:after="0" w:line="276" w:lineRule="auto"/>
      <w:ind w:left="5103"/>
      <w:jc w:val="left"/>
    </w:pPr>
    <w:rPr>
      <w:rFonts w:eastAsiaTheme="minorHAnsi"/>
      <w:sz w:val="28"/>
      <w:szCs w:val="22"/>
    </w:rPr>
  </w:style>
  <w:style w:type="paragraph" w:customStyle="1" w:styleId="DateMarking">
    <w:name w:val="DateMarking"/>
    <w:basedOn w:val="Normal"/>
    <w:rsid w:val="00DC3C2E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</w:rPr>
  </w:style>
  <w:style w:type="paragraph" w:customStyle="1" w:styleId="ReleasableTo">
    <w:name w:val="ReleasableTo"/>
    <w:basedOn w:val="Normal"/>
    <w:rsid w:val="00DC3C2E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</w:rPr>
  </w:style>
  <w:style w:type="paragraph" w:customStyle="1" w:styleId="HeaderSensitivityRight">
    <w:name w:val="Header Sensitivity Right"/>
    <w:basedOn w:val="Normal"/>
    <w:rsid w:val="00DC3C2E"/>
    <w:pPr>
      <w:spacing w:before="0"/>
      <w:jc w:val="right"/>
    </w:pPr>
    <w:rPr>
      <w:rFonts w:eastAsiaTheme="minorHAns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transparency/expert-groups-register/screen/expert-groups/consult?lang=en&amp;groupID=3030" TargetMode="External"/><Relationship Id="rId1" Type="http://schemas.openxmlformats.org/officeDocument/2006/relationships/hyperlink" Target="http://data.europa.eu/eli/dir/2020/2184/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7AA7E3730F1448AF750840A0C8E33" ma:contentTypeVersion="1" ma:contentTypeDescription="Create a new document." ma:contentTypeScope="" ma:versionID="301730705b3a417a4dfb99580b175d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d03e553edf0700080776c7aead8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365B83-A008-45EE-81D5-1CDE3F4C5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22EC9-52FF-4D2A-BD3A-1D022E6C4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175FF-2296-499F-BAA6-89B33D8AE9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FD9F1-0368-4A18-8B67-1BD0D45C84E2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4214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4962</CharactersWithSpaces>
  <SharedDoc>false</SharedDoc>
  <HLinks>
    <vt:vector size="30" baseType="variant">
      <vt:variant>
        <vt:i4>5505041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http://eur-lex.europa.eu/LexUriServ/LexUriServ.do?uri=OJ:L:2003:124:0036:0041:EN:PDF</vt:lpwstr>
      </vt:variant>
      <vt:variant>
        <vt:lpwstr/>
      </vt:variant>
      <vt:variant>
        <vt:i4>2687076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https://en.wikipedia.org/wiki/Wage</vt:lpwstr>
      </vt:variant>
      <vt:variant>
        <vt:lpwstr/>
      </vt:variant>
      <vt:variant>
        <vt:i4>5505041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http://eur-lex.europa.eu/LexUriServ/LexUriServ.do?uri=OJ:L:2003:124:0036:0041:EN:PDF</vt:lpwstr>
      </vt:variant>
      <vt:variant>
        <vt:lpwstr/>
      </vt:variant>
      <vt:variant>
        <vt:i4>5505041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http://eur-lex.europa.eu/LexUriServ/LexUriServ.do?uri=OJ:L:2003:124:0036:0041:EN:PDF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https://en.wikipedia.org/wiki/Wage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FOULON Julie (ENV)</dc:creator>
  <cp:lastModifiedBy>LEEMANS Bert (ENV)</cp:lastModifiedBy>
  <cp:revision>4</cp:revision>
  <cp:lastPrinted>2020-01-09T10:26:00Z</cp:lastPrinted>
  <dcterms:created xsi:type="dcterms:W3CDTF">2024-09-23T03:58:00Z</dcterms:created>
  <dcterms:modified xsi:type="dcterms:W3CDTF">2024-09-23T15:19:00Z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8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Red</vt:lpwstr>
  </property>
  <property fmtid="{D5CDD505-2E9C-101B-9397-08002B2CF9AE}" pid="7" name="Level of sensitivity">
    <vt:lpwstr>Standard treatment</vt:lpwstr>
  </property>
  <property fmtid="{D5CDD505-2E9C-101B-9397-08002B2CF9AE}" pid="8" name="Last edited using">
    <vt:lpwstr>LW 9.0, Build 20230317</vt:lpwstr>
  </property>
  <property fmtid="{D5CDD505-2E9C-101B-9397-08002B2CF9AE}" pid="9" name="ContentTypeId">
    <vt:lpwstr>0x010100BD87AA7E3730F1448AF750840A0C8E33</vt:lpwstr>
  </property>
  <property fmtid="{D5CDD505-2E9C-101B-9397-08002B2CF9AE}" pid="10" name="MSIP_Label_6bd9ddd1-4d20-43f6-abfa-fc3c07406f94_Enabled">
    <vt:lpwstr>true</vt:lpwstr>
  </property>
  <property fmtid="{D5CDD505-2E9C-101B-9397-08002B2CF9AE}" pid="11" name="MSIP_Label_6bd9ddd1-4d20-43f6-abfa-fc3c07406f94_SetDate">
    <vt:lpwstr>2024-09-16T10:07:58Z</vt:lpwstr>
  </property>
  <property fmtid="{D5CDD505-2E9C-101B-9397-08002B2CF9AE}" pid="12" name="MSIP_Label_6bd9ddd1-4d20-43f6-abfa-fc3c07406f94_Method">
    <vt:lpwstr>Standard</vt:lpwstr>
  </property>
  <property fmtid="{D5CDD505-2E9C-101B-9397-08002B2CF9AE}" pid="13" name="MSIP_Label_6bd9ddd1-4d20-43f6-abfa-fc3c07406f94_Name">
    <vt:lpwstr>Commission Use</vt:lpwstr>
  </property>
  <property fmtid="{D5CDD505-2E9C-101B-9397-08002B2CF9AE}" pid="14" name="MSIP_Label_6bd9ddd1-4d20-43f6-abfa-fc3c07406f94_SiteId">
    <vt:lpwstr>b24c8b06-522c-46fe-9080-70926f8dddb1</vt:lpwstr>
  </property>
  <property fmtid="{D5CDD505-2E9C-101B-9397-08002B2CF9AE}" pid="15" name="MSIP_Label_6bd9ddd1-4d20-43f6-abfa-fc3c07406f94_ActionId">
    <vt:lpwstr>ed8ae64e-4cf8-49ec-88fc-0afbe76fd76a</vt:lpwstr>
  </property>
  <property fmtid="{D5CDD505-2E9C-101B-9397-08002B2CF9AE}" pid="16" name="MSIP_Label_6bd9ddd1-4d20-43f6-abfa-fc3c07406f94_ContentBits">
    <vt:lpwstr>0</vt:lpwstr>
  </property>
</Properties>
</file>